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8C0F" w14:textId="77777777" w:rsidR="000B6D3B" w:rsidRPr="004F7252" w:rsidRDefault="000B6D3B" w:rsidP="000B6D3B">
      <w:pPr>
        <w:jc w:val="both"/>
        <w:rPr>
          <w:rFonts w:cs="Times New Roman"/>
        </w:rPr>
      </w:pPr>
    </w:p>
    <w:p w14:paraId="3E5C223F" w14:textId="77777777" w:rsidR="000B6D3B" w:rsidRPr="004F7252" w:rsidRDefault="000B6D3B" w:rsidP="000B6D3B">
      <w:pPr>
        <w:jc w:val="both"/>
        <w:rPr>
          <w:rFonts w:cs="Times New Roman"/>
        </w:rPr>
      </w:pPr>
    </w:p>
    <w:p w14:paraId="6F9A9C08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1960D43F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32BB39BF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53A32B74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35C6DD87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292D5C76" w14:textId="77777777" w:rsidR="000B6D3B" w:rsidRPr="004F7252" w:rsidRDefault="000B6D3B" w:rsidP="000B6D3B">
      <w:pPr>
        <w:ind w:left="420" w:right="92"/>
        <w:jc w:val="both"/>
        <w:rPr>
          <w:rFonts w:cs="Times New Roman"/>
          <w:i/>
          <w:iCs/>
          <w:sz w:val="20"/>
          <w:szCs w:val="20"/>
        </w:rPr>
      </w:pPr>
    </w:p>
    <w:p w14:paraId="4C40DB3B" w14:textId="77777777" w:rsidR="000B6D3B" w:rsidRPr="00AC3250" w:rsidRDefault="000B6D3B" w:rsidP="000B6D3B">
      <w:pPr>
        <w:jc w:val="both"/>
        <w:rPr>
          <w:rFonts w:cs="Times New Roman"/>
          <w:b/>
          <w:sz w:val="40"/>
          <w:szCs w:val="40"/>
        </w:rPr>
      </w:pPr>
      <w:r w:rsidRPr="00AC3250">
        <w:rPr>
          <w:rFonts w:cs="Times New Roman"/>
          <w:b/>
          <w:sz w:val="40"/>
          <w:szCs w:val="40"/>
        </w:rPr>
        <w:t xml:space="preserve">IZVJEŠĆE POSLOVODSTVA DRUŠTVA </w:t>
      </w:r>
    </w:p>
    <w:p w14:paraId="6F274165" w14:textId="77777777" w:rsidR="000B6D3B" w:rsidRPr="00AC3250" w:rsidRDefault="000B6D3B" w:rsidP="000B6D3B">
      <w:pPr>
        <w:jc w:val="both"/>
        <w:rPr>
          <w:rFonts w:cs="Times New Roman"/>
          <w:b/>
          <w:sz w:val="40"/>
          <w:szCs w:val="40"/>
        </w:rPr>
      </w:pPr>
      <w:r w:rsidRPr="00AC3250">
        <w:rPr>
          <w:rFonts w:cs="Times New Roman"/>
          <w:b/>
          <w:sz w:val="40"/>
          <w:szCs w:val="40"/>
        </w:rPr>
        <w:t xml:space="preserve">PONIKVE VODA d.o.o. </w:t>
      </w:r>
    </w:p>
    <w:p w14:paraId="5004AD29" w14:textId="72332A46" w:rsidR="000B6D3B" w:rsidRPr="00AC3250" w:rsidRDefault="000B6D3B" w:rsidP="000B6D3B">
      <w:pPr>
        <w:jc w:val="both"/>
        <w:rPr>
          <w:rFonts w:cs="Times New Roman"/>
          <w:b/>
          <w:sz w:val="40"/>
          <w:szCs w:val="40"/>
        </w:rPr>
      </w:pPr>
      <w:r w:rsidRPr="00AC3250">
        <w:rPr>
          <w:rFonts w:cs="Times New Roman"/>
          <w:b/>
          <w:sz w:val="40"/>
          <w:szCs w:val="40"/>
        </w:rPr>
        <w:t>ZA 20</w:t>
      </w:r>
      <w:r>
        <w:rPr>
          <w:rFonts w:cs="Times New Roman"/>
          <w:b/>
          <w:sz w:val="40"/>
          <w:szCs w:val="40"/>
        </w:rPr>
        <w:t>2</w:t>
      </w:r>
      <w:r w:rsidR="00A75464">
        <w:rPr>
          <w:rFonts w:cs="Times New Roman"/>
          <w:b/>
          <w:sz w:val="40"/>
          <w:szCs w:val="40"/>
        </w:rPr>
        <w:t>1</w:t>
      </w:r>
      <w:r>
        <w:rPr>
          <w:rFonts w:cs="Times New Roman"/>
          <w:b/>
          <w:sz w:val="40"/>
          <w:szCs w:val="40"/>
        </w:rPr>
        <w:t>.</w:t>
      </w:r>
      <w:r w:rsidRPr="00AC3250">
        <w:rPr>
          <w:rFonts w:cs="Times New Roman"/>
          <w:b/>
          <w:sz w:val="40"/>
          <w:szCs w:val="40"/>
        </w:rPr>
        <w:t xml:space="preserve"> GODINU</w:t>
      </w:r>
    </w:p>
    <w:p w14:paraId="5E73E645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1F55BFE2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37AEFA46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4EC4199C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541748C4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1C4F71E7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2ED17792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34E4EEE9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4DAE3670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2F6B3FB4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4077AE23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4A605513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6CAC8401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31510CDB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0D66F605" w14:textId="77777777" w:rsidR="000B6D3B" w:rsidRPr="00AC3250" w:rsidRDefault="000B6D3B" w:rsidP="000B6D3B">
      <w:pPr>
        <w:jc w:val="both"/>
        <w:rPr>
          <w:rFonts w:cs="Times New Roman"/>
          <w:b/>
        </w:rPr>
      </w:pPr>
    </w:p>
    <w:p w14:paraId="464DE007" w14:textId="77777777" w:rsidR="000B6D3B" w:rsidRDefault="000B6D3B" w:rsidP="000B6D3B">
      <w:pPr>
        <w:spacing w:after="160"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1.  OSNOVNI PODACI O DRUŠTVU</w:t>
      </w:r>
    </w:p>
    <w:p w14:paraId="349847CF" w14:textId="77777777" w:rsidR="000B6D3B" w:rsidRDefault="000B6D3B" w:rsidP="000B6D3B">
      <w:pPr>
        <w:spacing w:after="160" w:line="256" w:lineRule="auto"/>
        <w:jc w:val="both"/>
        <w:rPr>
          <w:rFonts w:ascii="Calibri" w:eastAsia="Calibri" w:hAnsi="Calibri" w:cs="Calibri"/>
        </w:rPr>
      </w:pPr>
    </w:p>
    <w:p w14:paraId="51078CD1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Ponikve voda je društvo s ograničenom odgovornošću (dalje: Društvo) za komunalne djelatnosti.</w:t>
      </w:r>
    </w:p>
    <w:p w14:paraId="29B205BE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Prema postojećim podacima i dokumentima Društvo je registrirano 19.03.1960. godine u Okružnom privrednom sudu u Rijeci pod nazivom Komunalno poduzeće "Ponikve" Krk za obavljanje različitih komunalnih djelatnosti, sličnih kojima se i danas bavi. Od osnutka pa do danas Društvo je prošlo mnoge statusne i druge promjene. Udruživanjem 1986. godine s poduzećem "Komunalac" Omišalj, Društvo je proširilo djelokrug rada na čišćenje i održavanje javnih i zelenih površina, skupljanje, odvoz i zbrinjavanje komunalnog otpada.</w:t>
      </w:r>
    </w:p>
    <w:p w14:paraId="2D931F5E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Radi usklađivanja sa Zakonom o vodama bilo je potrebno sve djelatnosti kojima se Društvo bavilo, a koje nisu javna vodoopskrba i javna odvodnja izdvojiti iz poslovanja. Stoga su osnivači Ponikve d.o.o. odlučili da će postojeće društvo nastaviti obavljati djelatnost vodoopskrbe i javne odvodnje, a za obavljanje drugih djelatnosti osnovali su dva nova Društva.</w:t>
      </w:r>
    </w:p>
    <w:p w14:paraId="00272EB9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Rješenjem trgovačkog suda u Rijeci Tt-13/9542-2 od 31.12.2013. godine Društvo nastavlja poslovati pod nazivom Ponikve voda d.o.o. Krk.</w:t>
      </w:r>
    </w:p>
    <w:p w14:paraId="7A380CF3" w14:textId="6A9A98A8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Danas se radi o srednje velikom komunalnom društvu u 100 %-</w:t>
      </w:r>
      <w:proofErr w:type="spellStart"/>
      <w:r>
        <w:rPr>
          <w:rFonts w:ascii="Calibri" w:eastAsia="Calibri" w:hAnsi="Calibri" w:cs="Calibri"/>
        </w:rPr>
        <w:t>tnom</w:t>
      </w:r>
      <w:proofErr w:type="spellEnd"/>
      <w:r>
        <w:rPr>
          <w:rFonts w:ascii="Calibri" w:eastAsia="Calibri" w:hAnsi="Calibri" w:cs="Calibri"/>
        </w:rPr>
        <w:t xml:space="preserve"> vlasništvu svih jedinica lokalne samouprave otoka Krka. Temeljni upisani kapital Društva na dan 31. prosinca 202</w:t>
      </w:r>
      <w:r w:rsidR="00616E0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godine iznosi 3</w:t>
      </w:r>
      <w:r w:rsidR="00616E06">
        <w:rPr>
          <w:rFonts w:ascii="Calibri" w:eastAsia="Calibri" w:hAnsi="Calibri" w:cs="Calibri"/>
        </w:rPr>
        <w:t>78.463.000,00</w:t>
      </w:r>
      <w:r>
        <w:rPr>
          <w:rFonts w:ascii="Calibri" w:eastAsia="Calibri" w:hAnsi="Calibri" w:cs="Calibri"/>
        </w:rPr>
        <w:t xml:space="preserve"> kn. </w:t>
      </w:r>
    </w:p>
    <w:p w14:paraId="5355CAC0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D50155F" w14:textId="77777777" w:rsidR="000B6D3B" w:rsidRDefault="000B6D3B" w:rsidP="000B6D3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 Djelatnost </w:t>
      </w:r>
    </w:p>
    <w:p w14:paraId="2450AD63" w14:textId="77777777" w:rsidR="000B6D3B" w:rsidRDefault="000B6D3B" w:rsidP="000B6D3B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</w:rPr>
      </w:pPr>
    </w:p>
    <w:p w14:paraId="46187A91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Osnovne djelatnosti Društva su:</w:t>
      </w:r>
    </w:p>
    <w:p w14:paraId="3422F115" w14:textId="77777777" w:rsidR="000B6D3B" w:rsidRDefault="000B6D3B" w:rsidP="000B6D3B">
      <w:pPr>
        <w:numPr>
          <w:ilvl w:val="0"/>
          <w:numId w:val="2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proizvodnja i distribucija pitke vode</w:t>
      </w:r>
    </w:p>
    <w:p w14:paraId="3B877564" w14:textId="77777777" w:rsidR="000B6D3B" w:rsidRDefault="000B6D3B" w:rsidP="000B6D3B">
      <w:pPr>
        <w:numPr>
          <w:ilvl w:val="0"/>
          <w:numId w:val="2"/>
        </w:num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odvodnja i pročišćavanje otpadnih voda.</w:t>
      </w:r>
    </w:p>
    <w:p w14:paraId="56AF5119" w14:textId="77777777" w:rsidR="000B6D3B" w:rsidRDefault="000B6D3B" w:rsidP="000B6D3B">
      <w:pPr>
        <w:spacing w:after="0" w:line="240" w:lineRule="auto"/>
        <w:ind w:left="780" w:right="92"/>
        <w:jc w:val="both"/>
        <w:rPr>
          <w:rFonts w:ascii="Calibri" w:eastAsia="Calibri" w:hAnsi="Calibri" w:cs="Calibri"/>
          <w:iCs/>
        </w:rPr>
      </w:pPr>
    </w:p>
    <w:p w14:paraId="1EC708C5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Osim navedenih djelatnosti Društvo se bavi i montažama mjesnih cjevovoda (vode i kanalizacije), izradom vodovodnih i kanalizacijskih priključaka.</w:t>
      </w:r>
    </w:p>
    <w:p w14:paraId="54A83B7E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54FF2704" w14:textId="77777777" w:rsidR="000B6D3B" w:rsidRDefault="000B6D3B" w:rsidP="000B6D3B">
      <w:pPr>
        <w:numPr>
          <w:ilvl w:val="1"/>
          <w:numId w:val="1"/>
        </w:num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 Društva</w:t>
      </w:r>
    </w:p>
    <w:p w14:paraId="5B88A0EA" w14:textId="77777777" w:rsidR="000B6D3B" w:rsidRDefault="000B6D3B" w:rsidP="000B6D3B">
      <w:pPr>
        <w:spacing w:after="0" w:line="240" w:lineRule="auto"/>
        <w:ind w:left="360" w:right="92"/>
        <w:contextualSpacing/>
        <w:jc w:val="both"/>
        <w:rPr>
          <w:rFonts w:ascii="Calibri" w:eastAsia="Times New Roman" w:hAnsi="Calibri" w:cs="Calibri"/>
          <w:iCs/>
        </w:rPr>
      </w:pPr>
    </w:p>
    <w:p w14:paraId="23921065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Društvo ima skupštinu društva i upravu. </w:t>
      </w:r>
    </w:p>
    <w:p w14:paraId="358BAEEF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Skupštinu društva čine članovi društva (osnivači) – jedinice lokalne samouprave, a njome predsjeda predsjednik. Predsjednik skupštine imenuje se na vrijeme od godinu dana.</w:t>
      </w:r>
    </w:p>
    <w:p w14:paraId="4AC2E229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Svaki član skupštine ostvaruje prava i dužnosti sukladno veličini temeljnog uloga.</w:t>
      </w:r>
    </w:p>
    <w:p w14:paraId="316B28D8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Skupština društva odlučuje o svim bitnim stvarima kao što su financijski izvještaji, godišnji planovi poslovanja, investicijski  i razvojni planovi, cijene komunalnih usluga i slično.</w:t>
      </w:r>
    </w:p>
    <w:p w14:paraId="770ABA29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Poslove društva vodi uprava koja se sastoji od jednog direktora kojeg imenuje skupština. Uprava društva zastupa društvo, rukovodi i organizira proces rada i poslovanja te obavlja i druge poslove na temelju zakona i ovlaštenja.</w:t>
      </w:r>
    </w:p>
    <w:p w14:paraId="7194B2F9" w14:textId="23801372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Direktor društva za razdoblje od 01.01.2018. do 31.12.2021. godine </w:t>
      </w:r>
      <w:r w:rsidR="009E62B9">
        <w:rPr>
          <w:rFonts w:ascii="Calibri" w:eastAsia="Calibri" w:hAnsi="Calibri" w:cs="Calibri"/>
          <w:iCs/>
        </w:rPr>
        <w:t xml:space="preserve">bio </w:t>
      </w:r>
      <w:r>
        <w:rPr>
          <w:rFonts w:ascii="Calibri" w:eastAsia="Calibri" w:hAnsi="Calibri" w:cs="Calibri"/>
          <w:iCs/>
        </w:rPr>
        <w:t xml:space="preserve">je mr.sc. Ivica </w:t>
      </w:r>
      <w:proofErr w:type="spellStart"/>
      <w:r>
        <w:rPr>
          <w:rFonts w:ascii="Calibri" w:eastAsia="Calibri" w:hAnsi="Calibri" w:cs="Calibri"/>
          <w:iCs/>
        </w:rPr>
        <w:t>Plišić</w:t>
      </w:r>
      <w:proofErr w:type="spellEnd"/>
      <w:r>
        <w:rPr>
          <w:rFonts w:ascii="Calibri" w:eastAsia="Calibri" w:hAnsi="Calibri" w:cs="Calibri"/>
          <w:iCs/>
        </w:rPr>
        <w:t xml:space="preserve">, </w:t>
      </w:r>
      <w:proofErr w:type="spellStart"/>
      <w:r>
        <w:rPr>
          <w:rFonts w:ascii="Calibri" w:eastAsia="Calibri" w:hAnsi="Calibri" w:cs="Calibri"/>
          <w:iCs/>
        </w:rPr>
        <w:t>dipl.ing.građ</w:t>
      </w:r>
      <w:proofErr w:type="spellEnd"/>
      <w:r>
        <w:rPr>
          <w:rFonts w:ascii="Calibri" w:eastAsia="Calibri" w:hAnsi="Calibri" w:cs="Calibri"/>
          <w:iCs/>
        </w:rPr>
        <w:t>.</w:t>
      </w:r>
    </w:p>
    <w:p w14:paraId="632D6511" w14:textId="77777777" w:rsidR="00616E06" w:rsidRPr="00616E06" w:rsidRDefault="00616E06" w:rsidP="00616E06">
      <w:pPr>
        <w:ind w:right="92"/>
        <w:jc w:val="both"/>
        <w:rPr>
          <w:iCs/>
        </w:rPr>
      </w:pPr>
      <w:r w:rsidRPr="00616E06">
        <w:rPr>
          <w:iCs/>
        </w:rPr>
        <w:t xml:space="preserve">U prosincu 2021. godine imenovan je novi direktor za razdoblje od 01.01.2022. do 31.12.2025. godine Neven Hržić, </w:t>
      </w:r>
      <w:proofErr w:type="spellStart"/>
      <w:r w:rsidRPr="00616E06">
        <w:rPr>
          <w:iCs/>
        </w:rPr>
        <w:t>str.spec.ing.građ</w:t>
      </w:r>
      <w:proofErr w:type="spellEnd"/>
      <w:r w:rsidRPr="00616E06">
        <w:rPr>
          <w:iCs/>
        </w:rPr>
        <w:t>.</w:t>
      </w:r>
    </w:p>
    <w:p w14:paraId="70A2F2DD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364C0498" w14:textId="77777777" w:rsidR="000B6D3B" w:rsidRDefault="000B6D3B" w:rsidP="000B6D3B">
      <w:pPr>
        <w:numPr>
          <w:ilvl w:val="1"/>
          <w:numId w:val="1"/>
        </w:num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Organizacija i radnici</w:t>
      </w:r>
    </w:p>
    <w:p w14:paraId="1D58FBE2" w14:textId="77777777" w:rsidR="000B6D3B" w:rsidRDefault="000B6D3B" w:rsidP="000B6D3B">
      <w:pPr>
        <w:spacing w:after="0" w:line="240" w:lineRule="auto"/>
        <w:ind w:left="360" w:right="92"/>
        <w:contextualSpacing/>
        <w:jc w:val="both"/>
        <w:rPr>
          <w:rFonts w:ascii="Calibri" w:eastAsia="Times New Roman" w:hAnsi="Calibri" w:cs="Calibri"/>
          <w:iCs/>
        </w:rPr>
      </w:pPr>
    </w:p>
    <w:p w14:paraId="79C3DD92" w14:textId="77777777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Društvo je organizirano tako da postoje dvije radne jedinice: RJ Voda i  RJ Kanalizacija.</w:t>
      </w:r>
    </w:p>
    <w:p w14:paraId="6A182D63" w14:textId="0F02C6B8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Na dan 31. prosinca 202</w:t>
      </w:r>
      <w:r w:rsidR="00616E06">
        <w:rPr>
          <w:rFonts w:ascii="Calibri" w:eastAsia="Calibri" w:hAnsi="Calibri" w:cs="Calibri"/>
          <w:iCs/>
        </w:rPr>
        <w:t>1</w:t>
      </w:r>
      <w:r>
        <w:rPr>
          <w:rFonts w:ascii="Calibri" w:eastAsia="Calibri" w:hAnsi="Calibri" w:cs="Calibri"/>
          <w:iCs/>
        </w:rPr>
        <w:t xml:space="preserve">. godine Društvo zapošljava </w:t>
      </w:r>
      <w:r w:rsidR="00616E06">
        <w:rPr>
          <w:rFonts w:ascii="Calibri" w:eastAsia="Calibri" w:hAnsi="Calibri" w:cs="Calibri"/>
          <w:iCs/>
        </w:rPr>
        <w:t>90</w:t>
      </w:r>
      <w:r>
        <w:rPr>
          <w:rFonts w:ascii="Calibri" w:eastAsia="Calibri" w:hAnsi="Calibri" w:cs="Calibri"/>
          <w:iCs/>
        </w:rPr>
        <w:t xml:space="preserve"> radnika.</w:t>
      </w:r>
    </w:p>
    <w:p w14:paraId="3C9218D7" w14:textId="3FD41437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46185D3E" w14:textId="2FBDF681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25A68AAE" w14:textId="77777777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4BCFBCD5" w14:textId="77777777" w:rsidR="000B6D3B" w:rsidRPr="009E62B9" w:rsidRDefault="000B6D3B" w:rsidP="000B6D3B">
      <w:pPr>
        <w:numPr>
          <w:ilvl w:val="1"/>
          <w:numId w:val="1"/>
        </w:numPr>
        <w:spacing w:after="0" w:line="240" w:lineRule="auto"/>
        <w:ind w:right="91"/>
        <w:contextualSpacing/>
        <w:jc w:val="both"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</w:t>
      </w:r>
      <w:r w:rsidRPr="009E62B9">
        <w:rPr>
          <w:rFonts w:ascii="Calibri" w:eastAsia="Times New Roman" w:hAnsi="Calibri" w:cs="Calibri"/>
          <w:b/>
          <w:bCs/>
          <w:iCs/>
        </w:rPr>
        <w:t>Program kvalitete</w:t>
      </w:r>
    </w:p>
    <w:p w14:paraId="7B8C1137" w14:textId="77777777" w:rsidR="000B6D3B" w:rsidRPr="009E62B9" w:rsidRDefault="000B6D3B" w:rsidP="000B6D3B">
      <w:pPr>
        <w:spacing w:after="0" w:line="240" w:lineRule="auto"/>
        <w:rPr>
          <w:rFonts w:ascii="Calibri" w:eastAsia="Calibri" w:hAnsi="Calibri" w:cs="Calibri"/>
        </w:rPr>
      </w:pPr>
    </w:p>
    <w:p w14:paraId="477D6304" w14:textId="77777777" w:rsidR="000B6D3B" w:rsidRPr="009E62B9" w:rsidRDefault="000B6D3B" w:rsidP="000B6D3B">
      <w:pPr>
        <w:numPr>
          <w:ilvl w:val="2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E62B9">
        <w:rPr>
          <w:rFonts w:ascii="Calibri" w:eastAsia="Times New Roman" w:hAnsi="Calibri" w:cs="Calibri"/>
          <w:b/>
        </w:rPr>
        <w:t>HRN EN ISO 9001:2015</w:t>
      </w:r>
    </w:p>
    <w:p w14:paraId="204064A7" w14:textId="77777777" w:rsidR="00FA2E4A" w:rsidRDefault="00FA2E4A" w:rsidP="00FA2E4A">
      <w:r>
        <w:tab/>
        <w:t>Sustav upravljanja kvalitet</w:t>
      </w:r>
      <w:r w:rsidRPr="00677C58">
        <w:t xml:space="preserve">om uveden je </w:t>
      </w:r>
      <w:r w:rsidRPr="00D20DB6">
        <w:rPr>
          <w:b/>
        </w:rPr>
        <w:t>7. lipnja 2002. godine.</w:t>
      </w:r>
      <w:r w:rsidRPr="00677C58">
        <w:t xml:space="preserve"> </w:t>
      </w:r>
      <w:r w:rsidRPr="00677C58">
        <w:rPr>
          <w:noProof/>
        </w:rPr>
        <w:drawing>
          <wp:anchor distT="0" distB="0" distL="114300" distR="114300" simplePos="0" relativeHeight="251659264" behindDoc="0" locked="0" layoutInCell="1" allowOverlap="1" wp14:anchorId="70F70B1C" wp14:editId="5072268C">
            <wp:simplePos x="0" y="0"/>
            <wp:positionH relativeFrom="column">
              <wp:posOffset>14605</wp:posOffset>
            </wp:positionH>
            <wp:positionV relativeFrom="paragraph">
              <wp:posOffset>67945</wp:posOffset>
            </wp:positionV>
            <wp:extent cx="1425575" cy="2159635"/>
            <wp:effectExtent l="19050" t="0" r="3175" b="0"/>
            <wp:wrapSquare wrapText="bothSides"/>
            <wp:docPr id="33" name="Picture 3" descr="Certifikat ISO 9001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kat ISO 9001 20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Ponikve voda d.o.o. se Društvo je certificirano prema normi ISO 9001:2015. Opseg certifikacije je: </w:t>
      </w:r>
      <w:r w:rsidRPr="0087563B">
        <w:rPr>
          <w:b/>
          <w:u w:val="single"/>
        </w:rPr>
        <w:t>„</w:t>
      </w:r>
      <w:r>
        <w:rPr>
          <w:b/>
          <w:u w:val="single"/>
        </w:rPr>
        <w:t>Vodoopskrba i odvodnja</w:t>
      </w:r>
      <w:r w:rsidRPr="0087563B">
        <w:rPr>
          <w:b/>
          <w:u w:val="single"/>
        </w:rPr>
        <w:t>“.</w:t>
      </w:r>
      <w:r w:rsidRPr="008C132C">
        <w:t xml:space="preserve"> </w:t>
      </w:r>
      <w:r>
        <w:rPr>
          <w:i/>
        </w:rPr>
        <w:t xml:space="preserve">Water </w:t>
      </w:r>
      <w:proofErr w:type="spellStart"/>
      <w:r>
        <w:rPr>
          <w:i/>
        </w:rPr>
        <w:t>supply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sewerage</w:t>
      </w:r>
      <w:proofErr w:type="spellEnd"/>
      <w:r>
        <w:rPr>
          <w:i/>
        </w:rPr>
        <w:t xml:space="preserve">. </w:t>
      </w:r>
      <w:r>
        <w:t xml:space="preserve">Lokacije: Vodoopskrbni sustav Ponikva, izvorište Vela Fontana, crpna stanica Ponikva, Vodoopskrbni sustav </w:t>
      </w:r>
      <w:proofErr w:type="spellStart"/>
      <w:r>
        <w:t>Paprata</w:t>
      </w:r>
      <w:proofErr w:type="spellEnd"/>
      <w:r>
        <w:t xml:space="preserve">, Vodoopskrbni sustav Baška, Baždarnica Njivice, Vodoopskrbni sustav Stara Baška, bunar Stara Baška, </w:t>
      </w:r>
      <w:proofErr w:type="spellStart"/>
      <w:r>
        <w:t>desalinizator</w:t>
      </w:r>
      <w:proofErr w:type="spellEnd"/>
      <w:r>
        <w:t xml:space="preserve"> Stara Baška, Uređaji za pročišćavanje otpadnih voda Baška, Malinska-Njivice (</w:t>
      </w:r>
      <w:proofErr w:type="spellStart"/>
      <w:r>
        <w:t>Ćuf</w:t>
      </w:r>
      <w:proofErr w:type="spellEnd"/>
      <w:r>
        <w:t xml:space="preserve">), </w:t>
      </w:r>
      <w:proofErr w:type="spellStart"/>
      <w:r>
        <w:t>Dobrinj</w:t>
      </w:r>
      <w:proofErr w:type="spellEnd"/>
      <w:r>
        <w:t>, Omišalj, Punat, Krk.</w:t>
      </w:r>
    </w:p>
    <w:p w14:paraId="61620CF1" w14:textId="77777777" w:rsidR="00FA2E4A" w:rsidRDefault="00FA2E4A" w:rsidP="00FA2E4A">
      <w:bookmarkStart w:id="0" w:name="_Hlk105393685"/>
      <w:r w:rsidRPr="00320DA7">
        <w:t>Certifikacijski audit</w:t>
      </w:r>
      <w:r>
        <w:t xml:space="preserve"> </w:t>
      </w:r>
      <w:r w:rsidRPr="00320DA7">
        <w:t xml:space="preserve">provela je certifikacijska kuća </w:t>
      </w:r>
      <w:proofErr w:type="spellStart"/>
      <w:r w:rsidRPr="00320DA7">
        <w:t>Bureau</w:t>
      </w:r>
      <w:proofErr w:type="spellEnd"/>
      <w:r w:rsidRPr="00320DA7">
        <w:t xml:space="preserve"> Veritas </w:t>
      </w:r>
      <w:proofErr w:type="spellStart"/>
      <w:r w:rsidRPr="00320DA7">
        <w:t>Certification</w:t>
      </w:r>
      <w:proofErr w:type="spellEnd"/>
      <w:r w:rsidRPr="00320DA7">
        <w:t xml:space="preserve"> </w:t>
      </w:r>
      <w:r>
        <w:t>iz Rijeke. V</w:t>
      </w:r>
      <w:r w:rsidRPr="00320DA7">
        <w:t>oditelj tima bila Tanja Blašković Rabar. Audit je održan 02.06.202</w:t>
      </w:r>
      <w:r>
        <w:t>1</w:t>
      </w:r>
      <w:r w:rsidRPr="00320DA7">
        <w:t xml:space="preserve">. </w:t>
      </w:r>
      <w:bookmarkStart w:id="1" w:name="_Hlk105394528"/>
      <w:r>
        <w:t xml:space="preserve">prema terminskom planu nadzornog audita primjenom REMOTE procedure uz korištenje MS </w:t>
      </w:r>
      <w:proofErr w:type="spellStart"/>
      <w:r>
        <w:t>Teams</w:t>
      </w:r>
      <w:proofErr w:type="spellEnd"/>
      <w:r>
        <w:t xml:space="preserve"> aplikacije.</w:t>
      </w:r>
      <w:bookmarkEnd w:id="1"/>
    </w:p>
    <w:p w14:paraId="09977530" w14:textId="77777777" w:rsidR="00FA2E4A" w:rsidRDefault="00FA2E4A" w:rsidP="00FA2E4A">
      <w:pPr>
        <w:ind w:firstLine="357"/>
        <w:rPr>
          <w:i/>
        </w:rPr>
      </w:pPr>
      <w:bookmarkStart w:id="2" w:name="_Hlk105397849"/>
      <w:bookmarkEnd w:id="0"/>
      <w:r>
        <w:rPr>
          <w:b/>
        </w:rPr>
        <w:t xml:space="preserve">Broj certifikata: HR007624. </w:t>
      </w:r>
      <w:r w:rsidRPr="00990018">
        <w:rPr>
          <w:b/>
        </w:rPr>
        <w:t xml:space="preserve">Certifikat vrijedi do 17. srpnja 2023. godine. </w:t>
      </w:r>
      <w:r w:rsidRPr="00677C58">
        <w:rPr>
          <w:b/>
        </w:rPr>
        <w:t xml:space="preserve">Certifikat </w:t>
      </w:r>
      <w:r>
        <w:rPr>
          <w:b/>
        </w:rPr>
        <w:t>z</w:t>
      </w:r>
      <w:r>
        <w:rPr>
          <w:b/>
          <w:bCs/>
        </w:rPr>
        <w:t>a opseg djelatnosti: "Vodoopskrba i odvodnja“.</w:t>
      </w:r>
    </w:p>
    <w:bookmarkEnd w:id="2"/>
    <w:p w14:paraId="12775AAD" w14:textId="77777777" w:rsidR="00FA2E4A" w:rsidRPr="008D3269" w:rsidRDefault="00FA2E4A" w:rsidP="00FA2E4A">
      <w:pPr>
        <w:rPr>
          <w:b/>
          <w:sz w:val="24"/>
          <w:szCs w:val="20"/>
        </w:rPr>
      </w:pPr>
      <w:r w:rsidRPr="00677C58">
        <w:t>Navedeni sustav upravljanja kvalitetom osigurava kontinuirana poboljšanja u upr</w:t>
      </w:r>
      <w:r>
        <w:t>avljanju Društvom i pružanju</w:t>
      </w:r>
      <w:r w:rsidRPr="00677C58">
        <w:t xml:space="preserve"> kvalitetnije usluge našim korisnicima.</w:t>
      </w:r>
      <w:bookmarkStart w:id="3" w:name="_Toc416938577"/>
    </w:p>
    <w:p w14:paraId="07DE6715" w14:textId="72F64516" w:rsidR="00FA2E4A" w:rsidRPr="000D16BD" w:rsidRDefault="00FA2E4A" w:rsidP="00FA2E4A">
      <w:pPr>
        <w:pStyle w:val="Heading3"/>
        <w:numPr>
          <w:ilvl w:val="2"/>
          <w:numId w:val="1"/>
        </w:numPr>
        <w:rPr>
          <w:sz w:val="22"/>
          <w:szCs w:val="22"/>
        </w:rPr>
      </w:pPr>
      <w:r w:rsidRPr="000D16BD">
        <w:rPr>
          <w:sz w:val="22"/>
          <w:szCs w:val="22"/>
        </w:rPr>
        <w:t>HRN EN ISO 14001:20</w:t>
      </w:r>
      <w:bookmarkEnd w:id="3"/>
      <w:r w:rsidRPr="000D16BD">
        <w:rPr>
          <w:sz w:val="22"/>
          <w:szCs w:val="22"/>
        </w:rPr>
        <w:t>15</w:t>
      </w:r>
    </w:p>
    <w:p w14:paraId="7A2547FF" w14:textId="77777777" w:rsidR="00FA2E4A" w:rsidRDefault="00FA2E4A" w:rsidP="00FA2E4A">
      <w:pPr>
        <w:ind w:firstLine="360"/>
      </w:pPr>
      <w:r>
        <w:t xml:space="preserve">Sustava Zaštite okoliša uveden je 18. srpnja 2011. godine. Izrađena je sva potrebna dokumentacija sustava, educirani su zaposlenici o važnosti sustava zaštite okoliša. Provedeni su interni auditi, interne kontrole funkcioniranja sustava. Opseg </w:t>
      </w:r>
      <w:r w:rsidRPr="00625090">
        <w:rPr>
          <w:bCs/>
        </w:rPr>
        <w:t>sustava je:</w:t>
      </w:r>
      <w:r w:rsidRPr="0087563B">
        <w:rPr>
          <w:b/>
          <w:u w:val="single"/>
        </w:rPr>
        <w:t xml:space="preserve"> „</w:t>
      </w:r>
      <w:r>
        <w:rPr>
          <w:b/>
          <w:u w:val="single"/>
        </w:rPr>
        <w:t>Vodoopskrba i odvodnja</w:t>
      </w:r>
      <w:r w:rsidRPr="0087563B">
        <w:rPr>
          <w:b/>
          <w:u w:val="single"/>
        </w:rPr>
        <w:t>“.</w:t>
      </w:r>
      <w:r>
        <w:t xml:space="preserve"> Water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sewerage</w:t>
      </w:r>
      <w:proofErr w:type="spellEnd"/>
      <w:r>
        <w:t xml:space="preserve">. </w:t>
      </w:r>
      <w:r w:rsidRPr="00625090">
        <w:t xml:space="preserve">Certifikacijski audit provela je certifikacijska kuća </w:t>
      </w:r>
      <w:proofErr w:type="spellStart"/>
      <w:r w:rsidRPr="00625090">
        <w:t>Bureau</w:t>
      </w:r>
      <w:proofErr w:type="spellEnd"/>
      <w:r w:rsidRPr="00625090">
        <w:t xml:space="preserve"> Veritas </w:t>
      </w:r>
      <w:proofErr w:type="spellStart"/>
      <w:r w:rsidRPr="00625090">
        <w:t>Certification</w:t>
      </w:r>
      <w:proofErr w:type="spellEnd"/>
      <w:r w:rsidRPr="00625090">
        <w:t xml:space="preserve"> iz Rijeke. Voditelj tima bila </w:t>
      </w:r>
      <w:r>
        <w:t>Nina Vuletić</w:t>
      </w:r>
      <w:r w:rsidRPr="00625090">
        <w:t xml:space="preserve">. Audit je održan 02.06.2021. prema terminskom planu nadzornog audita primjenom REMOTE procedure uz korištenje MS </w:t>
      </w:r>
      <w:proofErr w:type="spellStart"/>
      <w:r w:rsidRPr="00625090">
        <w:t>Teams</w:t>
      </w:r>
      <w:proofErr w:type="spellEnd"/>
      <w:r w:rsidRPr="00625090">
        <w:t xml:space="preserve"> aplikacije.</w:t>
      </w:r>
      <w:r>
        <w:t xml:space="preserve"> Prema PEC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System sukladno opsegu određene su kategorije E24 </w:t>
      </w:r>
      <w:proofErr w:type="spellStart"/>
      <w:r>
        <w:t>Nace</w:t>
      </w:r>
      <w:proofErr w:type="spellEnd"/>
      <w:r>
        <w:t xml:space="preserve"> 38,11 i NACE 38,12.</w:t>
      </w:r>
    </w:p>
    <w:p w14:paraId="03480AC2" w14:textId="77777777" w:rsidR="00FA2E4A" w:rsidRDefault="00FA2E4A" w:rsidP="00FA2E4A">
      <w:r>
        <w:t xml:space="preserve">Lokacije: Vodoopskrbni sustav Ponikva, izvorište Vela Fontana, crpna stanica Ponikva, Vodoopskrbni sustav </w:t>
      </w:r>
      <w:proofErr w:type="spellStart"/>
      <w:r>
        <w:t>Paprata</w:t>
      </w:r>
      <w:proofErr w:type="spellEnd"/>
      <w:r>
        <w:t xml:space="preserve">, Vodoopskrbni sustav Baška, Baždarnica Njivice, Vodoopskrbni sustav Stara Baška, bunar Stara Baška, </w:t>
      </w:r>
      <w:proofErr w:type="spellStart"/>
      <w:r>
        <w:t>desalinizator</w:t>
      </w:r>
      <w:proofErr w:type="spellEnd"/>
      <w:r>
        <w:t xml:space="preserve"> Stara Baška, Uređaji za pročišćavanje otpadnih voda Baška, Malinska-Njivice (</w:t>
      </w:r>
      <w:proofErr w:type="spellStart"/>
      <w:r>
        <w:t>Ćuf</w:t>
      </w:r>
      <w:proofErr w:type="spellEnd"/>
      <w:r>
        <w:t xml:space="preserve">), </w:t>
      </w:r>
      <w:proofErr w:type="spellStart"/>
      <w:r>
        <w:t>Dobrinj</w:t>
      </w:r>
      <w:proofErr w:type="spellEnd"/>
      <w:r>
        <w:t>, Omišalj, Punat, Krk.</w:t>
      </w:r>
    </w:p>
    <w:p w14:paraId="7DD17789" w14:textId="77777777" w:rsidR="00FA2E4A" w:rsidRPr="00990018" w:rsidRDefault="00FA2E4A" w:rsidP="00FA2E4A">
      <w:pPr>
        <w:rPr>
          <w:i/>
        </w:rPr>
      </w:pPr>
      <w:r w:rsidRPr="00990018">
        <w:rPr>
          <w:b/>
        </w:rPr>
        <w:t>Broj certifikata: HR00762</w:t>
      </w:r>
      <w:r>
        <w:rPr>
          <w:b/>
        </w:rPr>
        <w:t>3</w:t>
      </w:r>
      <w:r w:rsidRPr="00990018">
        <w:rPr>
          <w:b/>
        </w:rPr>
        <w:t>. Certifikat vrijedi do 17. srpnja 2023. godine. Certifikat z</w:t>
      </w:r>
      <w:r w:rsidRPr="00990018">
        <w:rPr>
          <w:b/>
          <w:bCs/>
        </w:rPr>
        <w:t>a opseg djelatnosti: "Vodoopskrba i odvodnja“.</w:t>
      </w:r>
    </w:p>
    <w:p w14:paraId="67E3B26A" w14:textId="54326BBD" w:rsidR="00FA2E4A" w:rsidRPr="000D16BD" w:rsidRDefault="00FA2E4A" w:rsidP="00FA2E4A">
      <w:pPr>
        <w:pStyle w:val="Heading3"/>
        <w:numPr>
          <w:ilvl w:val="2"/>
          <w:numId w:val="1"/>
        </w:numPr>
        <w:rPr>
          <w:sz w:val="22"/>
          <w:szCs w:val="22"/>
        </w:rPr>
      </w:pPr>
      <w:r w:rsidRPr="000D16BD">
        <w:rPr>
          <w:sz w:val="22"/>
          <w:szCs w:val="22"/>
        </w:rPr>
        <w:lastRenderedPageBreak/>
        <w:t>HACCP Codex Alimentarius</w:t>
      </w:r>
    </w:p>
    <w:p w14:paraId="25406FCA" w14:textId="77777777" w:rsidR="00FA2E4A" w:rsidRDefault="00FA2E4A" w:rsidP="00FA2E4A">
      <w:pPr>
        <w:ind w:firstLine="360"/>
        <w:rPr>
          <w:sz w:val="24"/>
        </w:rPr>
      </w:pPr>
      <w:r w:rsidRPr="00677C58">
        <w:rPr>
          <w:sz w:val="24"/>
        </w:rPr>
        <w:t>Krajem 2004. godine Društvo je započelo sa uvođenjem kontrole kvalitete pitke vode po principu HACCP-a, dok je 16. prosinca 2005. godine taj sustav uveden i dobiven je certifikat.</w:t>
      </w:r>
      <w:r>
        <w:rPr>
          <w:sz w:val="24"/>
        </w:rPr>
        <w:t xml:space="preserve">   </w:t>
      </w:r>
      <w:r w:rsidRPr="00737A2E">
        <w:rPr>
          <w:sz w:val="24"/>
        </w:rPr>
        <w:t xml:space="preserve">Nadzorni audit započeo je </w:t>
      </w:r>
      <w:r>
        <w:rPr>
          <w:sz w:val="24"/>
        </w:rPr>
        <w:t xml:space="preserve">02.06.2021. godine </w:t>
      </w:r>
      <w:r w:rsidRPr="00737A2E">
        <w:rPr>
          <w:sz w:val="24"/>
        </w:rPr>
        <w:t>sukladno planu audita</w:t>
      </w:r>
      <w:r>
        <w:rPr>
          <w:sz w:val="24"/>
        </w:rPr>
        <w:t xml:space="preserve">, na čelu s voditeljicom tima Irenom </w:t>
      </w:r>
      <w:proofErr w:type="spellStart"/>
      <w:r>
        <w:rPr>
          <w:sz w:val="24"/>
        </w:rPr>
        <w:t>Vutuc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Nemez</w:t>
      </w:r>
      <w:proofErr w:type="spellEnd"/>
      <w:r>
        <w:rPr>
          <w:sz w:val="24"/>
        </w:rPr>
        <w:t xml:space="preserve">, </w:t>
      </w:r>
      <w:r w:rsidRPr="00737A2E">
        <w:rPr>
          <w:sz w:val="24"/>
        </w:rPr>
        <w:t xml:space="preserve"> prema BV </w:t>
      </w:r>
      <w:proofErr w:type="spellStart"/>
      <w:r w:rsidRPr="00737A2E">
        <w:rPr>
          <w:sz w:val="24"/>
        </w:rPr>
        <w:t>Certification</w:t>
      </w:r>
      <w:proofErr w:type="spellEnd"/>
      <w:r>
        <w:rPr>
          <w:sz w:val="24"/>
        </w:rPr>
        <w:t xml:space="preserve"> </w:t>
      </w:r>
      <w:r w:rsidRPr="00737A2E">
        <w:rPr>
          <w:sz w:val="24"/>
        </w:rPr>
        <w:t xml:space="preserve">procedurama, a prema zahtjevima norme CAC/RPC-1-1969, </w:t>
      </w:r>
      <w:proofErr w:type="spellStart"/>
      <w:r w:rsidRPr="00737A2E">
        <w:rPr>
          <w:sz w:val="24"/>
        </w:rPr>
        <w:t>Rev</w:t>
      </w:r>
      <w:proofErr w:type="spellEnd"/>
      <w:r w:rsidRPr="00737A2E">
        <w:rPr>
          <w:sz w:val="24"/>
        </w:rPr>
        <w:t>. 4 (2003). Pregledana</w:t>
      </w:r>
      <w:r>
        <w:rPr>
          <w:sz w:val="24"/>
        </w:rPr>
        <w:t xml:space="preserve"> </w:t>
      </w:r>
      <w:r w:rsidRPr="00737A2E">
        <w:rPr>
          <w:sz w:val="24"/>
        </w:rPr>
        <w:t>je dokumentacija i zapisi unutar sustava, te je proveden obilazak lokacije</w:t>
      </w:r>
      <w:r>
        <w:rPr>
          <w:sz w:val="24"/>
        </w:rPr>
        <w:t xml:space="preserve"> </w:t>
      </w:r>
      <w:r w:rsidRPr="00737A2E">
        <w:rPr>
          <w:sz w:val="24"/>
        </w:rPr>
        <w:t xml:space="preserve">vodoopskrbnog sustava </w:t>
      </w:r>
      <w:proofErr w:type="spellStart"/>
      <w:r w:rsidRPr="00737A2E">
        <w:rPr>
          <w:sz w:val="24"/>
        </w:rPr>
        <w:t>Paprata</w:t>
      </w:r>
      <w:proofErr w:type="spellEnd"/>
      <w:r w:rsidRPr="00737A2E">
        <w:rPr>
          <w:sz w:val="24"/>
        </w:rPr>
        <w:t xml:space="preserve"> putem aplikacije Viber video, te ključnih funkcija</w:t>
      </w:r>
      <w:r>
        <w:rPr>
          <w:sz w:val="24"/>
        </w:rPr>
        <w:t xml:space="preserve"> </w:t>
      </w:r>
      <w:r w:rsidRPr="00737A2E">
        <w:rPr>
          <w:sz w:val="24"/>
        </w:rPr>
        <w:t xml:space="preserve">vezanih uz HACCP sustav, primarno Laboratorij. </w:t>
      </w:r>
      <w:proofErr w:type="spellStart"/>
      <w:r w:rsidRPr="00737A2E">
        <w:rPr>
          <w:sz w:val="24"/>
        </w:rPr>
        <w:t>Razgovarano</w:t>
      </w:r>
      <w:proofErr w:type="spellEnd"/>
      <w:r w:rsidRPr="00737A2E">
        <w:rPr>
          <w:sz w:val="24"/>
        </w:rPr>
        <w:t xml:space="preserve"> je sa članovima</w:t>
      </w:r>
      <w:r>
        <w:rPr>
          <w:sz w:val="24"/>
        </w:rPr>
        <w:t xml:space="preserve"> </w:t>
      </w:r>
      <w:r w:rsidRPr="00737A2E">
        <w:rPr>
          <w:sz w:val="24"/>
        </w:rPr>
        <w:t>HACCP tima</w:t>
      </w:r>
      <w:r>
        <w:rPr>
          <w:sz w:val="24"/>
        </w:rPr>
        <w:t>.</w:t>
      </w:r>
    </w:p>
    <w:p w14:paraId="340D65B6" w14:textId="77777777" w:rsidR="00FA2E4A" w:rsidRDefault="00FA2E4A" w:rsidP="00FA2E4A">
      <w:pPr>
        <w:rPr>
          <w:sz w:val="24"/>
        </w:rPr>
      </w:pPr>
      <w:r w:rsidRPr="00550BFB">
        <w:rPr>
          <w:sz w:val="24"/>
        </w:rPr>
        <w:t>HACCP sustav dokumentiran je primjereno potrebama i zahtjevima proizvoda i procesa. Proces se</w:t>
      </w:r>
      <w:r>
        <w:rPr>
          <w:sz w:val="24"/>
        </w:rPr>
        <w:t xml:space="preserve"> </w:t>
      </w:r>
      <w:r w:rsidRPr="00550BFB">
        <w:rPr>
          <w:sz w:val="24"/>
        </w:rPr>
        <w:t>nadzire vođenjem propisanih evidencija, te jasnim procesima kontrole u procesu, što rezultira</w:t>
      </w:r>
      <w:r>
        <w:rPr>
          <w:sz w:val="24"/>
        </w:rPr>
        <w:t xml:space="preserve"> </w:t>
      </w:r>
      <w:r w:rsidRPr="00550BFB">
        <w:rPr>
          <w:sz w:val="24"/>
        </w:rPr>
        <w:t>uspješnom primjenom HACCP sustava. Sve evidencije se uredno vode, te se zapisi i procesi</w:t>
      </w:r>
      <w:r>
        <w:rPr>
          <w:sz w:val="24"/>
        </w:rPr>
        <w:t xml:space="preserve"> </w:t>
      </w:r>
      <w:r w:rsidRPr="00550BFB">
        <w:rPr>
          <w:sz w:val="24"/>
        </w:rPr>
        <w:t>verificiraju kako je propisano.</w:t>
      </w:r>
    </w:p>
    <w:p w14:paraId="0103BBFB" w14:textId="77777777" w:rsidR="00FA2E4A" w:rsidRDefault="00FA2E4A" w:rsidP="00FA2E4A">
      <w:pPr>
        <w:rPr>
          <w:i/>
        </w:rPr>
      </w:pPr>
      <w:r>
        <w:rPr>
          <w:b/>
        </w:rPr>
        <w:t xml:space="preserve">Broj certifikata: HR007676. </w:t>
      </w:r>
      <w:r w:rsidRPr="00990018">
        <w:rPr>
          <w:b/>
        </w:rPr>
        <w:t xml:space="preserve">Certifikat vrijedi do 17. srpnja 2023. godine. </w:t>
      </w:r>
      <w:r w:rsidRPr="00677C58">
        <w:rPr>
          <w:b/>
        </w:rPr>
        <w:t xml:space="preserve">Certifikat </w:t>
      </w:r>
      <w:r>
        <w:rPr>
          <w:b/>
        </w:rPr>
        <w:t>z</w:t>
      </w:r>
      <w:r>
        <w:rPr>
          <w:b/>
          <w:bCs/>
        </w:rPr>
        <w:t>a opseg djelatnosti: "Vodoopskrba i odvodnja“.</w:t>
      </w:r>
    </w:p>
    <w:p w14:paraId="074F3CE4" w14:textId="77777777" w:rsidR="00FA2E4A" w:rsidRPr="00550BFB" w:rsidRDefault="00FA2E4A" w:rsidP="00FA2E4A">
      <w:pPr>
        <w:rPr>
          <w:sz w:val="24"/>
        </w:rPr>
      </w:pPr>
    </w:p>
    <w:p w14:paraId="1F079C42" w14:textId="0AB09023" w:rsidR="000B6D3B" w:rsidRPr="00FA2E4A" w:rsidRDefault="00FA2E4A" w:rsidP="00FA2E4A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DA459" wp14:editId="45D6BBDB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979875" cy="405516"/>
                <wp:effectExtent l="0" t="0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875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0AED0" w14:textId="2201C9F0" w:rsidR="00FA2E4A" w:rsidRPr="00B55D53" w:rsidRDefault="00FA2E4A" w:rsidP="00FA2E4A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DA4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4.7pt;margin-top:9.35pt;width:155.9pt;height:31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AM8w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" stroked="f">
                <v:textbox>
                  <w:txbxContent>
                    <w:p w14:paraId="04D0AED0" w14:textId="2201C9F0" w:rsidR="00FA2E4A" w:rsidRPr="00B55D53" w:rsidRDefault="00FA2E4A" w:rsidP="00FA2E4A">
                      <w:pPr>
                        <w:pStyle w:val="NoSpacing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D3B" w:rsidRPr="00FA2E4A">
        <w:rPr>
          <w:rFonts w:ascii="Calibri" w:eastAsia="Calibri" w:hAnsi="Calibri" w:cs="Calibri"/>
          <w:b/>
        </w:rPr>
        <w:t xml:space="preserve">HACCP </w:t>
      </w:r>
      <w:proofErr w:type="spellStart"/>
      <w:r w:rsidR="000B6D3B" w:rsidRPr="00FA2E4A">
        <w:rPr>
          <w:rFonts w:ascii="Calibri" w:eastAsia="Calibri" w:hAnsi="Calibri" w:cs="Calibri"/>
          <w:b/>
        </w:rPr>
        <w:t>Codex</w:t>
      </w:r>
      <w:proofErr w:type="spellEnd"/>
      <w:r w:rsidR="000B6D3B" w:rsidRPr="00FA2E4A">
        <w:rPr>
          <w:rFonts w:ascii="Calibri" w:eastAsia="Calibri" w:hAnsi="Calibri" w:cs="Calibri"/>
          <w:b/>
        </w:rPr>
        <w:t xml:space="preserve"> </w:t>
      </w:r>
      <w:proofErr w:type="spellStart"/>
      <w:r w:rsidR="000B6D3B" w:rsidRPr="00FA2E4A">
        <w:rPr>
          <w:rFonts w:ascii="Calibri" w:eastAsia="Calibri" w:hAnsi="Calibri" w:cs="Calibri"/>
          <w:b/>
        </w:rPr>
        <w:t>Alimentarius</w:t>
      </w:r>
      <w:proofErr w:type="spellEnd"/>
      <w:r w:rsidR="000B6D3B" w:rsidRPr="00FA2E4A">
        <w:rPr>
          <w:rFonts w:ascii="Calibri" w:eastAsia="Calibri" w:hAnsi="Calibri" w:cs="Calibri"/>
          <w:b/>
        </w:rPr>
        <w:t xml:space="preserve"> </w:t>
      </w:r>
      <w:proofErr w:type="spellStart"/>
      <w:r w:rsidR="000B6D3B" w:rsidRPr="00FA2E4A">
        <w:rPr>
          <w:rFonts w:ascii="Calibri" w:eastAsia="Calibri" w:hAnsi="Calibri" w:cs="Calibri"/>
          <w:b/>
        </w:rPr>
        <w:t>Annex</w:t>
      </w:r>
      <w:proofErr w:type="spellEnd"/>
      <w:r w:rsidR="000B6D3B" w:rsidRPr="00FA2E4A">
        <w:rPr>
          <w:rFonts w:ascii="Calibri" w:eastAsia="Calibri" w:hAnsi="Calibri" w:cs="Calibri"/>
          <w:b/>
        </w:rPr>
        <w:t xml:space="preserve"> to CAC/RCP 1-1969 (</w:t>
      </w:r>
      <w:proofErr w:type="spellStart"/>
      <w:r w:rsidR="000B6D3B" w:rsidRPr="00FA2E4A">
        <w:rPr>
          <w:rFonts w:ascii="Calibri" w:eastAsia="Calibri" w:hAnsi="Calibri" w:cs="Calibri"/>
          <w:b/>
        </w:rPr>
        <w:t>Rev</w:t>
      </w:r>
      <w:proofErr w:type="spellEnd"/>
      <w:r w:rsidR="000B6D3B" w:rsidRPr="00FA2E4A">
        <w:rPr>
          <w:rFonts w:ascii="Calibri" w:eastAsia="Calibri" w:hAnsi="Calibri" w:cs="Calibri"/>
          <w:b/>
        </w:rPr>
        <w:t>. 4-2003)</w:t>
      </w:r>
    </w:p>
    <w:p w14:paraId="0C623268" w14:textId="77777777" w:rsidR="00616E06" w:rsidRPr="00CA4E56" w:rsidRDefault="00616E06" w:rsidP="00BA5CA4">
      <w:pPr>
        <w:spacing w:after="0" w:line="240" w:lineRule="auto"/>
        <w:jc w:val="both"/>
        <w:rPr>
          <w:rFonts w:eastAsia="Calibri" w:cstheme="minorHAnsi"/>
          <w:b/>
        </w:rPr>
      </w:pPr>
    </w:p>
    <w:p w14:paraId="58F3BF84" w14:textId="77777777" w:rsidR="00616E06" w:rsidRPr="00CA4E56" w:rsidRDefault="00616E06" w:rsidP="00616E06">
      <w:pPr>
        <w:pStyle w:val="NoSpacing"/>
        <w:rPr>
          <w:rFonts w:cstheme="minorHAnsi"/>
        </w:rPr>
      </w:pPr>
    </w:p>
    <w:p w14:paraId="7C254F1D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>Krajem 2004. godine započelo se s uvođenjem kontrole kvalitete vode prema načelima HACCP-a, a 16. prosinca 2005. godine sustav je prvi put certificiran.</w:t>
      </w:r>
    </w:p>
    <w:p w14:paraId="3E591614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 xml:space="preserve">Dana 02. lipnja 2021. godine održao se audit sukladno planu audita, a prema BV </w:t>
      </w:r>
      <w:proofErr w:type="spellStart"/>
      <w:r w:rsidRPr="00CA4E56">
        <w:rPr>
          <w:rFonts w:cstheme="minorHAnsi"/>
        </w:rPr>
        <w:t>Certification</w:t>
      </w:r>
      <w:proofErr w:type="spellEnd"/>
      <w:r w:rsidRPr="00CA4E56">
        <w:rPr>
          <w:rFonts w:cstheme="minorHAnsi"/>
        </w:rPr>
        <w:t xml:space="preserve"> procedurama i prema zahtjevima norme CAC/RCP 1-1969 (</w:t>
      </w:r>
      <w:proofErr w:type="spellStart"/>
      <w:r w:rsidRPr="00CA4E56">
        <w:rPr>
          <w:rFonts w:cstheme="minorHAnsi"/>
        </w:rPr>
        <w:t>Rev</w:t>
      </w:r>
      <w:proofErr w:type="spellEnd"/>
      <w:r w:rsidRPr="00CA4E56">
        <w:rPr>
          <w:rFonts w:cstheme="minorHAnsi"/>
        </w:rPr>
        <w:t>. 4-2003).</w:t>
      </w:r>
    </w:p>
    <w:p w14:paraId="7AB0D18F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 xml:space="preserve">Audit je odrađen 100 % </w:t>
      </w:r>
      <w:proofErr w:type="spellStart"/>
      <w:r w:rsidRPr="00CA4E56">
        <w:rPr>
          <w:rFonts w:cstheme="minorHAnsi"/>
        </w:rPr>
        <w:t>remote</w:t>
      </w:r>
      <w:proofErr w:type="spellEnd"/>
      <w:r w:rsidRPr="00CA4E56">
        <w:rPr>
          <w:rFonts w:cstheme="minorHAnsi"/>
        </w:rPr>
        <w:t xml:space="preserve">, putem aplikacije MA </w:t>
      </w:r>
      <w:proofErr w:type="spellStart"/>
      <w:r w:rsidRPr="00CA4E56">
        <w:rPr>
          <w:rFonts w:cstheme="minorHAnsi"/>
        </w:rPr>
        <w:t>teams</w:t>
      </w:r>
      <w:proofErr w:type="spellEnd"/>
      <w:r w:rsidRPr="00CA4E56">
        <w:rPr>
          <w:rFonts w:cstheme="minorHAnsi"/>
        </w:rPr>
        <w:t>, Viber video razgovora sa odgovornim djelatnicima te pregledom dokumentacije koja je dobivena na mail.</w:t>
      </w:r>
    </w:p>
    <w:p w14:paraId="6C64420C" w14:textId="77777777" w:rsidR="00616E06" w:rsidRPr="00CA4E56" w:rsidRDefault="00616E06" w:rsidP="00616E06">
      <w:pPr>
        <w:pStyle w:val="NoSpacing"/>
        <w:rPr>
          <w:rFonts w:cstheme="minorHAnsi"/>
        </w:rPr>
      </w:pPr>
    </w:p>
    <w:p w14:paraId="5D46C42A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 xml:space="preserve">„HACCP sustav dokumentiran je primjereno potrebama i zahtjevima proizvoda i procesa. </w:t>
      </w:r>
    </w:p>
    <w:p w14:paraId="7EE05832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 xml:space="preserve">Proces se nadzire vođenjem propisanih evidencija, te jasnim procesima kontrole u procesu – primarno telemetrijom, te definiranim planom uzorkovanja, što rezultira uspješnom primjenom HACCP sustava. </w:t>
      </w:r>
    </w:p>
    <w:p w14:paraId="7FA4674D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 xml:space="preserve">Zakonski se provodi redovan monitoring od nadležnog županijskog zavoda za javno zdravstvo. </w:t>
      </w:r>
    </w:p>
    <w:p w14:paraId="611BFFF7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>Sve evidencije se uredno vode, te se zapisi i procesi verificiraju kako je propisano.</w:t>
      </w:r>
    </w:p>
    <w:p w14:paraId="0A377E7A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>Na auditu je uočena jedna nesukladnost koja se odnosi na upravljanje dokumentacijom.</w:t>
      </w:r>
    </w:p>
    <w:p w14:paraId="0DFBB656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>Za identificiranu nesukladnost je podignuta korektivna radnja, te poslana pripadajuća dokumentacija. Ista se prihvaća, a efikasnost će se provjeriti na sljedećem auditu.“</w:t>
      </w:r>
    </w:p>
    <w:p w14:paraId="0C8EB492" w14:textId="77777777" w:rsidR="00616E06" w:rsidRPr="00CA4E56" w:rsidRDefault="00616E06" w:rsidP="00616E06">
      <w:pPr>
        <w:pStyle w:val="NoSpacing"/>
        <w:rPr>
          <w:rFonts w:cstheme="minorHAnsi"/>
        </w:rPr>
      </w:pPr>
    </w:p>
    <w:p w14:paraId="59B208C6" w14:textId="77777777" w:rsidR="00616E06" w:rsidRPr="00CA4E56" w:rsidRDefault="00616E06" w:rsidP="00616E06">
      <w:pPr>
        <w:pStyle w:val="NoSpacing"/>
        <w:rPr>
          <w:rFonts w:cstheme="minorHAnsi"/>
        </w:rPr>
      </w:pPr>
    </w:p>
    <w:p w14:paraId="1E077590" w14:textId="77777777" w:rsidR="00616E06" w:rsidRPr="00CA4E56" w:rsidRDefault="00616E06" w:rsidP="00616E06">
      <w:pPr>
        <w:pStyle w:val="NoSpacing"/>
        <w:rPr>
          <w:rFonts w:cstheme="minorHAnsi"/>
        </w:rPr>
      </w:pPr>
      <w:r w:rsidRPr="00CA4E56">
        <w:rPr>
          <w:rFonts w:cstheme="minorHAnsi"/>
        </w:rPr>
        <w:t>Broj certifikata: HR007676 Verzija  01, datum revizije 07. srpanj 2020. za opseg „Vodoopskrba“</w:t>
      </w:r>
    </w:p>
    <w:p w14:paraId="1F35E2CA" w14:textId="77777777" w:rsidR="00616E06" w:rsidRPr="00CA4E56" w:rsidRDefault="00616E06" w:rsidP="00616E06">
      <w:pPr>
        <w:pStyle w:val="NoSpacing"/>
        <w:rPr>
          <w:rFonts w:cstheme="minorHAnsi"/>
        </w:rPr>
      </w:pPr>
    </w:p>
    <w:p w14:paraId="0202428F" w14:textId="77777777" w:rsidR="000B6D3B" w:rsidRPr="00CA4E56" w:rsidRDefault="000B6D3B" w:rsidP="000B6D3B">
      <w:pPr>
        <w:spacing w:after="0" w:line="240" w:lineRule="auto"/>
        <w:jc w:val="both"/>
        <w:rPr>
          <w:rFonts w:eastAsia="Calibri" w:cstheme="minorHAnsi"/>
        </w:rPr>
      </w:pPr>
    </w:p>
    <w:p w14:paraId="1A717410" w14:textId="77777777" w:rsidR="000B6D3B" w:rsidRDefault="000B6D3B" w:rsidP="000B6D3B">
      <w:pPr>
        <w:spacing w:after="0" w:line="240" w:lineRule="auto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br w:type="page"/>
      </w:r>
    </w:p>
    <w:p w14:paraId="0D7E4216" w14:textId="77777777" w:rsidR="000B6D3B" w:rsidRDefault="000B6D3B" w:rsidP="00FA2E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</w:rPr>
        <w:lastRenderedPageBreak/>
        <w:t>FINANCIJSKI POKAZATELJI I OSTVARENI REZULTAT</w:t>
      </w:r>
    </w:p>
    <w:p w14:paraId="3FBA0947" w14:textId="77777777" w:rsidR="000B6D3B" w:rsidRDefault="000B6D3B" w:rsidP="000B6D3B">
      <w:pPr>
        <w:spacing w:after="160" w:line="256" w:lineRule="auto"/>
        <w:ind w:firstLine="708"/>
        <w:jc w:val="both"/>
        <w:rPr>
          <w:rFonts w:ascii="Calibri" w:eastAsia="Calibri" w:hAnsi="Calibri" w:cs="Calibri"/>
        </w:rPr>
      </w:pPr>
    </w:p>
    <w:p w14:paraId="5F02C6FA" w14:textId="7E4BCE93" w:rsidR="000B6D3B" w:rsidRDefault="000B6D3B" w:rsidP="000B6D3B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razdoblje od 01. siječnja do 31. prosinca 202</w:t>
      </w:r>
      <w:r w:rsidR="00BA5CA4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godine,  Društvo je ostvarilo ukupne prihode u iznosu od 5</w:t>
      </w:r>
      <w:r w:rsidR="00BA5CA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  <w:r w:rsidR="00BA5CA4">
        <w:rPr>
          <w:rFonts w:ascii="Calibri" w:eastAsia="Calibri" w:hAnsi="Calibri" w:cs="Calibri"/>
        </w:rPr>
        <w:t>948.853,78</w:t>
      </w:r>
      <w:r>
        <w:rPr>
          <w:rFonts w:ascii="Calibri" w:eastAsia="Calibri" w:hAnsi="Calibri" w:cs="Calibri"/>
        </w:rPr>
        <w:t xml:space="preserve"> kn te ukupne rashode u iznosu od 5</w:t>
      </w:r>
      <w:r w:rsidR="00BA5CA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  <w:r w:rsidR="009E62B9">
        <w:rPr>
          <w:rFonts w:ascii="Calibri" w:eastAsia="Calibri" w:hAnsi="Calibri" w:cs="Calibri"/>
        </w:rPr>
        <w:t>7</w:t>
      </w:r>
      <w:r w:rsidR="00BA5CA4">
        <w:rPr>
          <w:rFonts w:ascii="Calibri" w:eastAsia="Calibri" w:hAnsi="Calibri" w:cs="Calibri"/>
        </w:rPr>
        <w:t>83.400,43</w:t>
      </w:r>
      <w:r>
        <w:rPr>
          <w:rFonts w:ascii="Calibri" w:eastAsia="Calibri" w:hAnsi="Calibri" w:cs="Calibri"/>
        </w:rPr>
        <w:t xml:space="preserve"> kn. Temeljem razlike prihoda i rashoda ostvaren je </w:t>
      </w:r>
      <w:r w:rsidR="00BA5CA4">
        <w:rPr>
          <w:rFonts w:ascii="Calibri" w:eastAsia="Calibri" w:hAnsi="Calibri" w:cs="Calibri"/>
        </w:rPr>
        <w:t>dobit</w:t>
      </w:r>
      <w:r>
        <w:rPr>
          <w:rFonts w:ascii="Calibri" w:eastAsia="Calibri" w:hAnsi="Calibri" w:cs="Calibri"/>
        </w:rPr>
        <w:t xml:space="preserve"> tekuće godine</w:t>
      </w:r>
      <w:r w:rsidR="009E62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 iznosu od 1</w:t>
      </w:r>
      <w:r w:rsidR="00BA5CA4">
        <w:rPr>
          <w:rFonts w:ascii="Calibri" w:eastAsia="Calibri" w:hAnsi="Calibri" w:cs="Calibri"/>
        </w:rPr>
        <w:t>65</w:t>
      </w:r>
      <w:r w:rsidR="009E62B9">
        <w:rPr>
          <w:rFonts w:ascii="Calibri" w:eastAsia="Calibri" w:hAnsi="Calibri" w:cs="Calibri"/>
        </w:rPr>
        <w:t>.</w:t>
      </w:r>
      <w:r w:rsidR="00BA5CA4">
        <w:rPr>
          <w:rFonts w:ascii="Calibri" w:eastAsia="Calibri" w:hAnsi="Calibri" w:cs="Calibri"/>
        </w:rPr>
        <w:t>453,35</w:t>
      </w:r>
      <w:r>
        <w:rPr>
          <w:rFonts w:ascii="Calibri" w:eastAsia="Calibri" w:hAnsi="Calibri" w:cs="Calibri"/>
        </w:rPr>
        <w:t xml:space="preserve"> kn. </w:t>
      </w:r>
    </w:p>
    <w:p w14:paraId="2F325C90" w14:textId="77777777" w:rsidR="009E62B9" w:rsidRDefault="009E62B9" w:rsidP="009E62B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8984B07" w14:textId="77777777" w:rsidR="000B6D3B" w:rsidRDefault="000B6D3B" w:rsidP="000B6D3B">
      <w:pPr>
        <w:numPr>
          <w:ilvl w:val="12"/>
          <w:numId w:val="0"/>
        </w:numPr>
        <w:spacing w:after="160" w:line="256" w:lineRule="auto"/>
        <w:jc w:val="both"/>
        <w:rPr>
          <w:rFonts w:ascii="Calibri" w:eastAsia="Calibri" w:hAnsi="Calibri" w:cs="Calibri"/>
        </w:rPr>
      </w:pPr>
    </w:p>
    <w:p w14:paraId="5582F5BA" w14:textId="77777777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2.1.</w:t>
      </w:r>
      <w:r>
        <w:rPr>
          <w:rFonts w:ascii="Calibri" w:eastAsia="Calibri" w:hAnsi="Calibri" w:cs="Calibri"/>
          <w:b/>
          <w:bCs/>
        </w:rPr>
        <w:tab/>
        <w:t>UKUPNI PRIHODI</w:t>
      </w:r>
    </w:p>
    <w:p w14:paraId="1C19C487" w14:textId="77777777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  <w:b/>
        </w:rPr>
      </w:pPr>
    </w:p>
    <w:p w14:paraId="23952E5C" w14:textId="7B51A2C3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Prihodi od prodaje</w:t>
      </w:r>
      <w:r>
        <w:rPr>
          <w:rFonts w:ascii="Calibri" w:eastAsia="Calibri" w:hAnsi="Calibri" w:cs="Calibri"/>
        </w:rPr>
        <w:t xml:space="preserve">  u iznosu od 4</w:t>
      </w:r>
      <w:r w:rsidR="005E649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  <w:r w:rsidR="005E6496">
        <w:rPr>
          <w:rFonts w:ascii="Calibri" w:eastAsia="Calibri" w:hAnsi="Calibri" w:cs="Calibri"/>
        </w:rPr>
        <w:t>176</w:t>
      </w:r>
      <w:r>
        <w:rPr>
          <w:rFonts w:ascii="Calibri" w:eastAsia="Calibri" w:hAnsi="Calibri" w:cs="Calibri"/>
        </w:rPr>
        <w:t>.</w:t>
      </w:r>
      <w:r w:rsidR="005E6496">
        <w:rPr>
          <w:rFonts w:ascii="Calibri" w:eastAsia="Calibri" w:hAnsi="Calibri" w:cs="Calibri"/>
        </w:rPr>
        <w:t>090,35</w:t>
      </w:r>
      <w:r>
        <w:rPr>
          <w:rFonts w:ascii="Calibri" w:eastAsia="Calibri" w:hAnsi="Calibri" w:cs="Calibri"/>
        </w:rPr>
        <w:t xml:space="preserve"> kn čine </w:t>
      </w:r>
      <w:r w:rsidR="005E6496">
        <w:rPr>
          <w:rFonts w:ascii="Calibri" w:eastAsia="Calibri" w:hAnsi="Calibri" w:cs="Calibri"/>
        </w:rPr>
        <w:t>84,0</w:t>
      </w:r>
      <w:r w:rsidR="009E62B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% ukupnih prihoda. </w:t>
      </w:r>
    </w:p>
    <w:p w14:paraId="2D20458E" w14:textId="512770C8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Prihod od prodane vode za piće privredi i domaćinstvima ostvaren je u iznosu od 1</w:t>
      </w:r>
      <w:r w:rsidR="005E649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  <w:r w:rsidR="005E6496">
        <w:rPr>
          <w:rFonts w:ascii="Calibri" w:eastAsia="Calibri" w:hAnsi="Calibri" w:cs="Calibri"/>
        </w:rPr>
        <w:t xml:space="preserve">766.091,82 </w:t>
      </w:r>
      <w:r>
        <w:rPr>
          <w:rFonts w:ascii="Calibri" w:eastAsia="Calibri" w:hAnsi="Calibri" w:cs="Calibri"/>
        </w:rPr>
        <w:t xml:space="preserve">kn te je za </w:t>
      </w:r>
      <w:r w:rsidR="00B11E86">
        <w:rPr>
          <w:rFonts w:ascii="Calibri" w:eastAsia="Calibri" w:hAnsi="Calibri" w:cs="Calibri"/>
        </w:rPr>
        <w:t>17,51</w:t>
      </w:r>
      <w:r>
        <w:rPr>
          <w:rFonts w:ascii="Calibri" w:eastAsia="Calibri" w:hAnsi="Calibri" w:cs="Calibri"/>
        </w:rPr>
        <w:t xml:space="preserve">% </w:t>
      </w:r>
      <w:r w:rsidR="00B11E86">
        <w:rPr>
          <w:rFonts w:ascii="Calibri" w:eastAsia="Calibri" w:hAnsi="Calibri" w:cs="Calibri"/>
        </w:rPr>
        <w:t>veći</w:t>
      </w:r>
      <w:r>
        <w:rPr>
          <w:rFonts w:ascii="Calibri" w:eastAsia="Calibri" w:hAnsi="Calibri" w:cs="Calibri"/>
        </w:rPr>
        <w:t xml:space="preserve"> od prethodne godine kada je iznosio </w:t>
      </w:r>
      <w:r w:rsidR="000B776A">
        <w:rPr>
          <w:rFonts w:ascii="Calibri" w:eastAsia="Calibri" w:hAnsi="Calibri" w:cs="Calibri"/>
        </w:rPr>
        <w:t>14.268.014,99</w:t>
      </w:r>
      <w:r>
        <w:rPr>
          <w:rFonts w:ascii="Calibri" w:eastAsia="Calibri" w:hAnsi="Calibri" w:cs="Calibri"/>
        </w:rPr>
        <w:t xml:space="preserve"> kn. </w:t>
      </w:r>
      <w:r w:rsidR="00B11E86">
        <w:rPr>
          <w:rFonts w:ascii="Calibri" w:eastAsia="Calibri" w:hAnsi="Calibri" w:cs="Calibri"/>
        </w:rPr>
        <w:t>Povećanje</w:t>
      </w:r>
      <w:r>
        <w:rPr>
          <w:rFonts w:ascii="Calibri" w:eastAsia="Calibri" w:hAnsi="Calibri" w:cs="Calibri"/>
        </w:rPr>
        <w:t xml:space="preserve"> prihoda rezultat je </w:t>
      </w:r>
      <w:r w:rsidR="00B11E86">
        <w:rPr>
          <w:rFonts w:ascii="Calibri" w:eastAsia="Calibri" w:hAnsi="Calibri" w:cs="Calibri"/>
        </w:rPr>
        <w:t>veće</w:t>
      </w:r>
      <w:r>
        <w:rPr>
          <w:rFonts w:ascii="Calibri" w:eastAsia="Calibri" w:hAnsi="Calibri" w:cs="Calibri"/>
        </w:rPr>
        <w:t xml:space="preserve"> potrošnje vode privrede za </w:t>
      </w:r>
      <w:r w:rsidR="00822EFF">
        <w:rPr>
          <w:rFonts w:ascii="Calibri" w:eastAsia="Calibri" w:hAnsi="Calibri" w:cs="Calibri"/>
        </w:rPr>
        <w:t>27,</w:t>
      </w:r>
      <w:r w:rsidR="009E62B9">
        <w:rPr>
          <w:rFonts w:ascii="Calibri" w:eastAsia="Calibri" w:hAnsi="Calibri" w:cs="Calibri"/>
        </w:rPr>
        <w:t>38</w:t>
      </w:r>
      <w:r>
        <w:rPr>
          <w:rFonts w:ascii="Calibri" w:eastAsia="Calibri" w:hAnsi="Calibri" w:cs="Calibri"/>
        </w:rPr>
        <w:t xml:space="preserve">% i domaćinstva za </w:t>
      </w:r>
      <w:r w:rsidR="00822EFF">
        <w:rPr>
          <w:rFonts w:ascii="Calibri" w:eastAsia="Calibri" w:hAnsi="Calibri" w:cs="Calibri"/>
        </w:rPr>
        <w:t>8,3</w:t>
      </w:r>
      <w:r w:rsidR="009E62B9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%. </w:t>
      </w:r>
    </w:p>
    <w:p w14:paraId="4A193306" w14:textId="67617FEC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Zbog povećanja broja korisnika na vodi veći je prihod ostvaren od fiksnog dijela cijene vode za 2</w:t>
      </w:r>
      <w:r w:rsidR="009E62B9">
        <w:rPr>
          <w:rFonts w:ascii="Calibri" w:eastAsia="Calibri" w:hAnsi="Calibri" w:cs="Calibri"/>
        </w:rPr>
        <w:t>,07</w:t>
      </w:r>
      <w:r>
        <w:rPr>
          <w:rFonts w:ascii="Calibri" w:eastAsia="Calibri" w:hAnsi="Calibri" w:cs="Calibri"/>
        </w:rPr>
        <w:t>% (202</w:t>
      </w:r>
      <w:r w:rsidR="00193C0E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ostvareno je 15.</w:t>
      </w:r>
      <w:r w:rsidR="00822EFF">
        <w:rPr>
          <w:rFonts w:ascii="Calibri" w:eastAsia="Calibri" w:hAnsi="Calibri" w:cs="Calibri"/>
        </w:rPr>
        <w:t>465.399,36</w:t>
      </w:r>
      <w:r>
        <w:rPr>
          <w:rFonts w:ascii="Calibri" w:eastAsia="Calibri" w:hAnsi="Calibri" w:cs="Calibri"/>
        </w:rPr>
        <w:t xml:space="preserve"> kn, a 20</w:t>
      </w:r>
      <w:r w:rsidR="00822EFF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 godine 1</w:t>
      </w:r>
      <w:r w:rsidR="00822EF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</w:t>
      </w:r>
      <w:r w:rsidR="00822EFF">
        <w:rPr>
          <w:rFonts w:ascii="Calibri" w:eastAsia="Calibri" w:hAnsi="Calibri" w:cs="Calibri"/>
        </w:rPr>
        <w:t>152.137,44</w:t>
      </w:r>
      <w:r>
        <w:rPr>
          <w:rFonts w:ascii="Calibri" w:eastAsia="Calibri" w:hAnsi="Calibri" w:cs="Calibri"/>
        </w:rPr>
        <w:t xml:space="preserve"> kn).</w:t>
      </w:r>
    </w:p>
    <w:p w14:paraId="43C7503C" w14:textId="3D04D93A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Prihod varijabilnog dijela cijene odvodnje otpadnih voda</w:t>
      </w:r>
      <w:r w:rsidR="00193C0E">
        <w:rPr>
          <w:rFonts w:ascii="Calibri" w:eastAsia="Calibri" w:hAnsi="Calibri" w:cs="Calibri"/>
        </w:rPr>
        <w:t xml:space="preserve"> veći</w:t>
      </w:r>
      <w:r>
        <w:rPr>
          <w:rFonts w:ascii="Calibri" w:eastAsia="Calibri" w:hAnsi="Calibri" w:cs="Calibri"/>
        </w:rPr>
        <w:t xml:space="preserve"> je za </w:t>
      </w:r>
      <w:r w:rsidR="00193C0E">
        <w:rPr>
          <w:rFonts w:ascii="Calibri" w:eastAsia="Calibri" w:hAnsi="Calibri" w:cs="Calibri"/>
        </w:rPr>
        <w:t>39,</w:t>
      </w:r>
      <w:r w:rsidR="009E62B9">
        <w:rPr>
          <w:rFonts w:ascii="Calibri" w:eastAsia="Calibri" w:hAnsi="Calibri" w:cs="Calibri"/>
        </w:rPr>
        <w:t>29</w:t>
      </w:r>
      <w:r>
        <w:rPr>
          <w:rFonts w:ascii="Calibri" w:eastAsia="Calibri" w:hAnsi="Calibri" w:cs="Calibri"/>
        </w:rPr>
        <w:t>% (202</w:t>
      </w:r>
      <w:r w:rsidR="00193C0E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ostvareno je </w:t>
      </w:r>
      <w:r w:rsidR="00193C0E">
        <w:rPr>
          <w:rFonts w:ascii="Calibri" w:eastAsia="Calibri" w:hAnsi="Calibri" w:cs="Calibri"/>
        </w:rPr>
        <w:t>6.158.666,00</w:t>
      </w:r>
      <w:r>
        <w:rPr>
          <w:rFonts w:ascii="Calibri" w:eastAsia="Calibri" w:hAnsi="Calibri" w:cs="Calibri"/>
        </w:rPr>
        <w:t xml:space="preserve"> kn, a 20</w:t>
      </w:r>
      <w:r w:rsidR="00193C0E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 godine </w:t>
      </w:r>
      <w:r w:rsidR="00193C0E">
        <w:rPr>
          <w:rFonts w:ascii="Calibri" w:eastAsia="Calibri" w:hAnsi="Calibri" w:cs="Calibri"/>
        </w:rPr>
        <w:t>4.421.339,71</w:t>
      </w:r>
      <w:r>
        <w:rPr>
          <w:rFonts w:ascii="Calibri" w:eastAsia="Calibri" w:hAnsi="Calibri" w:cs="Calibri"/>
        </w:rPr>
        <w:t xml:space="preserve"> kn) što je rezultat </w:t>
      </w:r>
      <w:r w:rsidR="00FF477A">
        <w:rPr>
          <w:rFonts w:ascii="Calibri" w:eastAsia="Calibri" w:hAnsi="Calibri" w:cs="Calibri"/>
        </w:rPr>
        <w:t>već</w:t>
      </w:r>
      <w:r>
        <w:rPr>
          <w:rFonts w:ascii="Calibri" w:eastAsia="Calibri" w:hAnsi="Calibri" w:cs="Calibri"/>
        </w:rPr>
        <w:t xml:space="preserve">e potrošnje privrede za </w:t>
      </w:r>
      <w:r w:rsidR="00FF477A">
        <w:rPr>
          <w:rFonts w:ascii="Calibri" w:eastAsia="Calibri" w:hAnsi="Calibri" w:cs="Calibri"/>
        </w:rPr>
        <w:t>53,49</w:t>
      </w:r>
      <w:r>
        <w:rPr>
          <w:rFonts w:ascii="Calibri" w:eastAsia="Calibri" w:hAnsi="Calibri" w:cs="Calibri"/>
        </w:rPr>
        <w:t xml:space="preserve">% </w:t>
      </w:r>
      <w:r w:rsidR="00FF477A">
        <w:rPr>
          <w:rFonts w:ascii="Calibri" w:eastAsia="Calibri" w:hAnsi="Calibri" w:cs="Calibri"/>
        </w:rPr>
        <w:t xml:space="preserve">i veće </w:t>
      </w:r>
      <w:r>
        <w:rPr>
          <w:rFonts w:ascii="Calibri" w:eastAsia="Calibri" w:hAnsi="Calibri" w:cs="Calibri"/>
        </w:rPr>
        <w:t>potrošnj</w:t>
      </w:r>
      <w:r w:rsidR="00FF477A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domaćinstva za </w:t>
      </w:r>
      <w:r w:rsidR="00FF477A">
        <w:rPr>
          <w:rFonts w:ascii="Calibri" w:eastAsia="Calibri" w:hAnsi="Calibri" w:cs="Calibri"/>
        </w:rPr>
        <w:t>23,38</w:t>
      </w:r>
      <w:r>
        <w:rPr>
          <w:rFonts w:ascii="Calibri" w:eastAsia="Calibri" w:hAnsi="Calibri" w:cs="Calibri"/>
        </w:rPr>
        <w:t xml:space="preserve">% </w:t>
      </w:r>
      <w:r w:rsidR="00FF477A">
        <w:rPr>
          <w:rFonts w:ascii="Calibri" w:eastAsia="Calibri" w:hAnsi="Calibri" w:cs="Calibri"/>
        </w:rPr>
        <w:t>u odnosu na</w:t>
      </w:r>
      <w:r>
        <w:rPr>
          <w:rFonts w:ascii="Calibri" w:eastAsia="Calibri" w:hAnsi="Calibri" w:cs="Calibri"/>
        </w:rPr>
        <w:t xml:space="preserve"> prethodn</w:t>
      </w:r>
      <w:r w:rsidR="00FF477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godin</w:t>
      </w:r>
      <w:r w:rsidR="00FF477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. </w:t>
      </w:r>
    </w:p>
    <w:p w14:paraId="505DEC95" w14:textId="231F075A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Zbog povećanja ukupnog broja korisnika odvodnje otpadnih voda prihod ostvaren po fiksnom dijelu cijene odvodnje veći je za </w:t>
      </w:r>
      <w:r w:rsidR="008671EC">
        <w:rPr>
          <w:rFonts w:ascii="Calibri" w:eastAsia="Calibri" w:hAnsi="Calibri" w:cs="Calibri"/>
        </w:rPr>
        <w:t>15,</w:t>
      </w:r>
      <w:r w:rsidR="00FF477A">
        <w:rPr>
          <w:rFonts w:ascii="Calibri" w:eastAsia="Calibri" w:hAnsi="Calibri" w:cs="Calibri"/>
        </w:rPr>
        <w:t>68</w:t>
      </w:r>
      <w:r>
        <w:rPr>
          <w:rFonts w:ascii="Calibri" w:eastAsia="Calibri" w:hAnsi="Calibri" w:cs="Calibri"/>
        </w:rPr>
        <w:t>% (u 202</w:t>
      </w:r>
      <w:r w:rsidR="00193C0E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godini iznosio je </w:t>
      </w:r>
      <w:r w:rsidR="008671EC">
        <w:rPr>
          <w:rFonts w:ascii="Calibri" w:eastAsia="Calibri" w:hAnsi="Calibri" w:cs="Calibri"/>
        </w:rPr>
        <w:t>4.445.955,80</w:t>
      </w:r>
      <w:r>
        <w:rPr>
          <w:rFonts w:ascii="Calibri" w:eastAsia="Calibri" w:hAnsi="Calibri" w:cs="Calibri"/>
        </w:rPr>
        <w:t xml:space="preserve"> kn, a 20</w:t>
      </w:r>
      <w:r w:rsidR="00193C0E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 godine 3.</w:t>
      </w:r>
      <w:r w:rsidR="00193C0E">
        <w:rPr>
          <w:rFonts w:ascii="Calibri" w:eastAsia="Calibri" w:hAnsi="Calibri" w:cs="Calibri"/>
        </w:rPr>
        <w:t>843.477,82</w:t>
      </w:r>
      <w:r>
        <w:rPr>
          <w:rFonts w:ascii="Calibri" w:eastAsia="Calibri" w:hAnsi="Calibri" w:cs="Calibri"/>
        </w:rPr>
        <w:t xml:space="preserve"> kn).  </w:t>
      </w:r>
    </w:p>
    <w:p w14:paraId="3E49E15A" w14:textId="62751BE6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202</w:t>
      </w:r>
      <w:r w:rsidR="008C018C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godini prihod pražnjenja, odvoza i zbrinjavanja fekalija iz septičkih jama manji su za </w:t>
      </w:r>
      <w:r w:rsidR="008671EC">
        <w:rPr>
          <w:rFonts w:ascii="Calibri" w:eastAsia="Calibri" w:hAnsi="Calibri" w:cs="Calibri"/>
        </w:rPr>
        <w:t>1</w:t>
      </w:r>
      <w:r w:rsidR="00FF477A">
        <w:rPr>
          <w:rFonts w:ascii="Calibri" w:eastAsia="Calibri" w:hAnsi="Calibri" w:cs="Calibri"/>
        </w:rPr>
        <w:t>0,03</w:t>
      </w:r>
      <w:r>
        <w:rPr>
          <w:rFonts w:ascii="Calibri" w:eastAsia="Calibri" w:hAnsi="Calibri" w:cs="Calibri"/>
        </w:rPr>
        <w:t>% u odnosu na prošlu godinu (u 202</w:t>
      </w:r>
      <w:r w:rsidR="008671EC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ostvareno je 1.</w:t>
      </w:r>
      <w:r w:rsidR="008671EC">
        <w:rPr>
          <w:rFonts w:ascii="Calibri" w:eastAsia="Calibri" w:hAnsi="Calibri" w:cs="Calibri"/>
        </w:rPr>
        <w:t>149.488,00</w:t>
      </w:r>
      <w:r>
        <w:rPr>
          <w:rFonts w:ascii="Calibri" w:eastAsia="Calibri" w:hAnsi="Calibri" w:cs="Calibri"/>
        </w:rPr>
        <w:t xml:space="preserve"> kn, a 20</w:t>
      </w:r>
      <w:r w:rsidR="008671EC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 godine 1.</w:t>
      </w:r>
      <w:r w:rsidR="008671EC">
        <w:rPr>
          <w:rFonts w:ascii="Calibri" w:eastAsia="Calibri" w:hAnsi="Calibri" w:cs="Calibri"/>
        </w:rPr>
        <w:t>277.662,26</w:t>
      </w:r>
      <w:r>
        <w:rPr>
          <w:rFonts w:ascii="Calibri" w:eastAsia="Calibri" w:hAnsi="Calibri" w:cs="Calibri"/>
        </w:rPr>
        <w:t xml:space="preserve"> kn). </w:t>
      </w:r>
    </w:p>
    <w:p w14:paraId="33570FA4" w14:textId="77777777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14:paraId="2DFFC72B" w14:textId="41BC318D" w:rsidR="000B6D3B" w:rsidRDefault="000B6D3B" w:rsidP="000B6D3B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Ostali poslovni prihodi</w:t>
      </w:r>
      <w:r>
        <w:rPr>
          <w:rFonts w:ascii="Calibri" w:eastAsia="Calibri" w:hAnsi="Calibri" w:cs="Calibri"/>
        </w:rPr>
        <w:t xml:space="preserve"> u 202</w:t>
      </w:r>
      <w:r w:rsidR="004F07DC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godini iznose </w:t>
      </w:r>
      <w:r w:rsidR="008C018C">
        <w:rPr>
          <w:rFonts w:ascii="Calibri" w:eastAsia="Calibri" w:hAnsi="Calibri" w:cs="Calibri"/>
        </w:rPr>
        <w:t>8.404.640,08</w:t>
      </w:r>
      <w:r>
        <w:rPr>
          <w:rFonts w:ascii="Calibri" w:eastAsia="Calibri" w:hAnsi="Calibri" w:cs="Calibri"/>
        </w:rPr>
        <w:t xml:space="preserve"> kn  (20</w:t>
      </w:r>
      <w:r w:rsidR="008C018C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 godine </w:t>
      </w:r>
      <w:r w:rsidR="008C018C">
        <w:rPr>
          <w:rFonts w:ascii="Calibri" w:eastAsia="Calibri" w:hAnsi="Calibri" w:cs="Calibri"/>
        </w:rPr>
        <w:t>13.614.022,80</w:t>
      </w:r>
      <w:r>
        <w:rPr>
          <w:rFonts w:ascii="Calibri" w:eastAsia="Calibri" w:hAnsi="Calibri" w:cs="Calibri"/>
        </w:rPr>
        <w:t xml:space="preserve"> kn) te čine </w:t>
      </w:r>
      <w:r w:rsidR="008C018C">
        <w:rPr>
          <w:rFonts w:ascii="Calibri" w:eastAsia="Calibri" w:hAnsi="Calibri" w:cs="Calibri"/>
        </w:rPr>
        <w:t>15,3</w:t>
      </w:r>
      <w:r w:rsidR="00FF477A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% ukupnih prihoda</w:t>
      </w:r>
      <w:r w:rsidR="008C018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48888620" w14:textId="663A33DB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ostalim poslovnim prihodima iskazan  je prihod </w:t>
      </w:r>
      <w:r>
        <w:rPr>
          <w:rFonts w:ascii="Calibri" w:eastAsia="Times New Roman" w:hAnsi="Calibri" w:cs="Calibri"/>
          <w:bCs/>
          <w:iCs/>
        </w:rPr>
        <w:t xml:space="preserve">od usluga pruženih drugim pravnim osobama u ukupnom iznosu od </w:t>
      </w:r>
      <w:r w:rsidR="00E4790C">
        <w:rPr>
          <w:rFonts w:ascii="Calibri" w:eastAsia="Times New Roman" w:hAnsi="Calibri" w:cs="Calibri"/>
          <w:bCs/>
          <w:iCs/>
        </w:rPr>
        <w:t xml:space="preserve">316.225,71 </w:t>
      </w:r>
      <w:r>
        <w:rPr>
          <w:rFonts w:ascii="Calibri" w:eastAsia="Times New Roman" w:hAnsi="Calibri" w:cs="Calibri"/>
          <w:bCs/>
          <w:iCs/>
        </w:rPr>
        <w:t xml:space="preserve">kn (u istom iznosu iskazani su i troškovi), a odnose se na izgradnju i stručni nadzor nad izgradnjom elektroničke komunikacijske mreže (EKM) u iznosu od </w:t>
      </w:r>
      <w:r w:rsidR="00FF477A">
        <w:rPr>
          <w:rFonts w:ascii="Calibri" w:eastAsia="Times New Roman" w:hAnsi="Calibri" w:cs="Calibri"/>
          <w:bCs/>
          <w:iCs/>
        </w:rPr>
        <w:t>220.305,46</w:t>
      </w:r>
      <w:r>
        <w:rPr>
          <w:rFonts w:ascii="Calibri" w:eastAsia="Times New Roman" w:hAnsi="Calibri" w:cs="Calibri"/>
          <w:bCs/>
          <w:iCs/>
        </w:rPr>
        <w:t xml:space="preserve"> kn te druge radove u iznosu od </w:t>
      </w:r>
      <w:r w:rsidR="00FF477A">
        <w:rPr>
          <w:rFonts w:ascii="Calibri" w:eastAsia="Times New Roman" w:hAnsi="Calibri" w:cs="Calibri"/>
          <w:bCs/>
          <w:iCs/>
        </w:rPr>
        <w:t>95.920,25</w:t>
      </w:r>
      <w:r>
        <w:rPr>
          <w:rFonts w:ascii="Calibri" w:eastAsia="Times New Roman" w:hAnsi="Calibri" w:cs="Calibri"/>
          <w:bCs/>
          <w:iCs/>
        </w:rPr>
        <w:t xml:space="preserve"> kn. Izgradnja EKM mreže temelji se na Ugovoru o međusobnim odnosima u izgradnji elektroničke komunikacijske mreže otoka Krka u istom infrastrukturnom kanalu fekalne kanalizacije EU projekta. Sukladno tom ugovoru izgrađena EKM mreža biti će vlasništvo društva Ponikve eko otok Krk koje radove i financira. </w:t>
      </w:r>
    </w:p>
    <w:p w14:paraId="388E5ABC" w14:textId="41C56D97" w:rsidR="000B6D3B" w:rsidRDefault="00E11E6F" w:rsidP="000B6D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0B6D3B">
        <w:rPr>
          <w:rFonts w:ascii="Calibri" w:eastAsia="Calibri" w:hAnsi="Calibri" w:cs="Calibri"/>
        </w:rPr>
        <w:t>znos ostalih poslovnih prihoda  odnosi se na prihode naplaćenih ranije utuženih potraživanja (</w:t>
      </w:r>
      <w:r>
        <w:rPr>
          <w:rFonts w:ascii="Calibri" w:eastAsia="Calibri" w:hAnsi="Calibri" w:cs="Calibri"/>
        </w:rPr>
        <w:t>409.703,10</w:t>
      </w:r>
      <w:r w:rsidR="000B6D3B">
        <w:rPr>
          <w:rFonts w:ascii="Calibri" w:eastAsia="Calibri" w:hAnsi="Calibri" w:cs="Calibri"/>
        </w:rPr>
        <w:t xml:space="preserve"> kn), naknade šteta od osiguranja a (1</w:t>
      </w:r>
      <w:r>
        <w:rPr>
          <w:rFonts w:ascii="Calibri" w:eastAsia="Calibri" w:hAnsi="Calibri" w:cs="Calibri"/>
        </w:rPr>
        <w:t>33.719,31</w:t>
      </w:r>
      <w:r w:rsidR="000B6D3B">
        <w:rPr>
          <w:rFonts w:ascii="Calibri" w:eastAsia="Calibri" w:hAnsi="Calibri" w:cs="Calibri"/>
        </w:rPr>
        <w:t xml:space="preserve"> kn), prihod u visini amortizacije imovine nabavljene iz namjenskih sredstava (</w:t>
      </w:r>
      <w:r>
        <w:rPr>
          <w:rFonts w:ascii="Calibri" w:eastAsia="Calibri" w:hAnsi="Calibri" w:cs="Calibri"/>
        </w:rPr>
        <w:t>6.528.825,70</w:t>
      </w:r>
      <w:r w:rsidR="000B6D3B">
        <w:rPr>
          <w:rFonts w:ascii="Calibri" w:eastAsia="Calibri" w:hAnsi="Calibri" w:cs="Calibri"/>
        </w:rPr>
        <w:t xml:space="preserve"> kn), prihodi za pokriće troškova kamata (</w:t>
      </w:r>
      <w:r w:rsidRPr="000F5D1E">
        <w:rPr>
          <w:rFonts w:ascii="Calibri" w:eastAsia="Calibri" w:hAnsi="Calibri" w:cs="Calibri"/>
        </w:rPr>
        <w:t>1</w:t>
      </w:r>
      <w:r w:rsidR="000B6D3B" w:rsidRPr="000F5D1E">
        <w:rPr>
          <w:rFonts w:ascii="Calibri" w:eastAsia="Calibri" w:hAnsi="Calibri" w:cs="Calibri"/>
        </w:rPr>
        <w:t>9.</w:t>
      </w:r>
      <w:r w:rsidRPr="000F5D1E">
        <w:rPr>
          <w:rFonts w:ascii="Calibri" w:eastAsia="Calibri" w:hAnsi="Calibri" w:cs="Calibri"/>
        </w:rPr>
        <w:t>171,30</w:t>
      </w:r>
      <w:r w:rsidR="000B6D3B">
        <w:rPr>
          <w:rFonts w:ascii="Calibri" w:eastAsia="Calibri" w:hAnsi="Calibri" w:cs="Calibri"/>
        </w:rPr>
        <w:t xml:space="preserve"> kn) po kreditima koje se otplaćuju iz </w:t>
      </w:r>
      <w:r w:rsidR="00FF477A">
        <w:rPr>
          <w:rFonts w:ascii="Calibri" w:eastAsia="Calibri" w:hAnsi="Calibri" w:cs="Calibri"/>
        </w:rPr>
        <w:t>naknade za razvoj</w:t>
      </w:r>
      <w:r w:rsidR="000B6D3B">
        <w:rPr>
          <w:rFonts w:ascii="Calibri" w:eastAsia="Calibri" w:hAnsi="Calibri" w:cs="Calibri"/>
        </w:rPr>
        <w:t>,  prihodi za pokriće kamata</w:t>
      </w:r>
      <w:r w:rsidR="00FF477A">
        <w:rPr>
          <w:rFonts w:ascii="Calibri" w:eastAsia="Calibri" w:hAnsi="Calibri" w:cs="Calibri"/>
        </w:rPr>
        <w:t xml:space="preserve"> i bankarskih naknada</w:t>
      </w:r>
      <w:r w:rsidR="000B6D3B">
        <w:rPr>
          <w:rFonts w:ascii="Calibri" w:eastAsia="Calibri" w:hAnsi="Calibri" w:cs="Calibri"/>
        </w:rPr>
        <w:t xml:space="preserve"> (</w:t>
      </w:r>
      <w:r w:rsidR="00416C38">
        <w:rPr>
          <w:rFonts w:ascii="Calibri" w:eastAsia="Calibri" w:hAnsi="Calibri" w:cs="Calibri"/>
        </w:rPr>
        <w:t>505.222,67</w:t>
      </w:r>
      <w:r w:rsidR="000B6D3B">
        <w:rPr>
          <w:rFonts w:ascii="Calibri" w:eastAsia="Calibri" w:hAnsi="Calibri" w:cs="Calibri"/>
          <w:iCs/>
        </w:rPr>
        <w:t xml:space="preserve"> kn</w:t>
      </w:r>
      <w:r w:rsidR="000B6D3B">
        <w:rPr>
          <w:rFonts w:ascii="Calibri" w:eastAsia="Calibri" w:hAnsi="Calibri" w:cs="Calibri"/>
        </w:rPr>
        <w:t xml:space="preserve"> za kredit za EU projekt koje se otplaćuju iz sredstava JLS, prihod od najma (</w:t>
      </w:r>
      <w:r w:rsidR="005F7F31">
        <w:rPr>
          <w:rFonts w:ascii="Calibri" w:eastAsia="Calibri" w:hAnsi="Calibri" w:cs="Calibri"/>
        </w:rPr>
        <w:t>61</w:t>
      </w:r>
      <w:r w:rsidR="000B6D3B">
        <w:rPr>
          <w:rFonts w:ascii="Calibri" w:eastAsia="Calibri" w:hAnsi="Calibri" w:cs="Calibri"/>
        </w:rPr>
        <w:t xml:space="preserve">.000,00 kn), prihodi od subvencija </w:t>
      </w:r>
      <w:r w:rsidR="00FF477A">
        <w:rPr>
          <w:rFonts w:ascii="Calibri" w:eastAsia="Calibri" w:hAnsi="Calibri" w:cs="Calibri"/>
        </w:rPr>
        <w:t xml:space="preserve">nadležnog </w:t>
      </w:r>
      <w:r w:rsidR="000B6D3B">
        <w:rPr>
          <w:rFonts w:ascii="Calibri" w:eastAsia="Calibri" w:hAnsi="Calibri" w:cs="Calibri"/>
        </w:rPr>
        <w:t>Ministarstva za prodanu vodu domaćinstvima koja nemaju mogućnost korištenja javne vodovodne mreže već se voda dostavlja putem autocisterni (</w:t>
      </w:r>
      <w:r w:rsidR="005F7F31">
        <w:rPr>
          <w:rFonts w:ascii="Calibri" w:eastAsia="Calibri" w:hAnsi="Calibri" w:cs="Calibri"/>
        </w:rPr>
        <w:t>32.516</w:t>
      </w:r>
      <w:r w:rsidR="000B6D3B">
        <w:rPr>
          <w:rFonts w:ascii="Calibri" w:eastAsia="Calibri" w:hAnsi="Calibri" w:cs="Calibri"/>
        </w:rPr>
        <w:t>,00 kn),  prodaja vozila (</w:t>
      </w:r>
      <w:r w:rsidR="005F7F31">
        <w:rPr>
          <w:rFonts w:ascii="Calibri" w:eastAsia="Calibri" w:hAnsi="Calibri" w:cs="Calibri"/>
        </w:rPr>
        <w:t>271.542,40</w:t>
      </w:r>
      <w:r w:rsidR="000B6D3B">
        <w:rPr>
          <w:rFonts w:ascii="Calibri" w:eastAsia="Calibri" w:hAnsi="Calibri" w:cs="Calibri"/>
        </w:rPr>
        <w:t xml:space="preserve"> kn), pokriće primitka u naravi (3</w:t>
      </w:r>
      <w:r w:rsidR="005F7F31">
        <w:rPr>
          <w:rFonts w:ascii="Calibri" w:eastAsia="Calibri" w:hAnsi="Calibri" w:cs="Calibri"/>
        </w:rPr>
        <w:t>5.388,18</w:t>
      </w:r>
      <w:r w:rsidR="000B6D3B">
        <w:rPr>
          <w:rFonts w:ascii="Calibri" w:eastAsia="Calibri" w:hAnsi="Calibri" w:cs="Calibri"/>
        </w:rPr>
        <w:t xml:space="preserve"> kn) i ostali prihodi (</w:t>
      </w:r>
      <w:r w:rsidR="00FF477A">
        <w:rPr>
          <w:rFonts w:ascii="Calibri" w:eastAsia="Calibri" w:hAnsi="Calibri" w:cs="Calibri"/>
        </w:rPr>
        <w:t>91.325,71</w:t>
      </w:r>
      <w:r w:rsidR="000B6D3B">
        <w:rPr>
          <w:rFonts w:ascii="Calibri" w:eastAsia="Calibri" w:hAnsi="Calibri" w:cs="Calibri"/>
        </w:rPr>
        <w:t xml:space="preserve"> kn).</w:t>
      </w:r>
    </w:p>
    <w:p w14:paraId="483BA15C" w14:textId="77777777" w:rsidR="000B6D3B" w:rsidRDefault="000B6D3B" w:rsidP="000B6D3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14:paraId="32AA0FB4" w14:textId="68F8F367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Financijski prihodi</w:t>
      </w:r>
      <w:r>
        <w:rPr>
          <w:rFonts w:ascii="Calibri" w:eastAsia="Calibri" w:hAnsi="Calibri" w:cs="Calibri"/>
        </w:rPr>
        <w:t xml:space="preserve"> ostvareni su u iznosu od 3</w:t>
      </w:r>
      <w:r w:rsidR="00416C38">
        <w:rPr>
          <w:rFonts w:ascii="Calibri" w:eastAsia="Calibri" w:hAnsi="Calibri" w:cs="Calibri"/>
        </w:rPr>
        <w:t>68</w:t>
      </w:r>
      <w:r w:rsidR="000F5D1E">
        <w:rPr>
          <w:rFonts w:ascii="Calibri" w:eastAsia="Calibri" w:hAnsi="Calibri" w:cs="Calibri"/>
        </w:rPr>
        <w:t>.</w:t>
      </w:r>
      <w:r w:rsidR="00416C38">
        <w:rPr>
          <w:rFonts w:ascii="Calibri" w:eastAsia="Calibri" w:hAnsi="Calibri" w:cs="Calibri"/>
        </w:rPr>
        <w:t>123,35</w:t>
      </w:r>
      <w:r>
        <w:rPr>
          <w:rFonts w:ascii="Calibri" w:eastAsia="Calibri" w:hAnsi="Calibri" w:cs="Calibri"/>
        </w:rPr>
        <w:t xml:space="preserve"> kn i čine 0,</w:t>
      </w:r>
      <w:r w:rsidR="00FF477A">
        <w:rPr>
          <w:rFonts w:ascii="Calibri" w:eastAsia="Calibri" w:hAnsi="Calibri" w:cs="Calibri"/>
        </w:rPr>
        <w:t>6</w:t>
      </w:r>
      <w:r w:rsidR="000F5D1E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% ukupnih prihoda, a sastoje se od: obračunatih zateznih kamata na zakašnjela plaćanja, kamata po viđenju, kamata od danih pozajmica radnicima te pozitivnih tečajnih razlika.</w:t>
      </w:r>
    </w:p>
    <w:p w14:paraId="319EA3BD" w14:textId="2DFC6406" w:rsidR="00FF477A" w:rsidRDefault="00FF477A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14:paraId="46961644" w14:textId="06E1119D" w:rsidR="00FF477A" w:rsidRDefault="00FF477A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14:paraId="036D5E86" w14:textId="77777777" w:rsidR="00FF477A" w:rsidRDefault="00FF477A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14:paraId="41293898" w14:textId="77777777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b/>
          <w:bCs/>
          <w:iCs/>
        </w:rPr>
      </w:pPr>
      <w:r w:rsidRPr="00D94225">
        <w:rPr>
          <w:rFonts w:ascii="Calibri" w:eastAsia="Calibri" w:hAnsi="Calibri" w:cs="Calibri"/>
          <w:b/>
          <w:bCs/>
          <w:iCs/>
        </w:rPr>
        <w:lastRenderedPageBreak/>
        <w:t>2.2.</w:t>
      </w:r>
      <w:r w:rsidRPr="00D94225">
        <w:rPr>
          <w:rFonts w:ascii="Calibri" w:eastAsia="Calibri" w:hAnsi="Calibri" w:cs="Calibri"/>
          <w:b/>
          <w:bCs/>
          <w:iCs/>
        </w:rPr>
        <w:tab/>
        <w:t>UKUPNI RASHODI</w:t>
      </w:r>
      <w:r>
        <w:rPr>
          <w:rFonts w:ascii="Calibri" w:eastAsia="Calibri" w:hAnsi="Calibri" w:cs="Calibri"/>
          <w:b/>
          <w:bCs/>
          <w:iCs/>
        </w:rPr>
        <w:t xml:space="preserve"> </w:t>
      </w:r>
    </w:p>
    <w:p w14:paraId="656CEEA4" w14:textId="77777777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  <w:b/>
          <w:iCs/>
        </w:rPr>
      </w:pPr>
    </w:p>
    <w:p w14:paraId="1F0BF81A" w14:textId="4C8FC233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Cs/>
        </w:rPr>
        <w:t>Materijalni troškovi</w:t>
      </w:r>
      <w:r>
        <w:rPr>
          <w:rFonts w:ascii="Calibri" w:eastAsia="Calibri" w:hAnsi="Calibri" w:cs="Calibri"/>
          <w:iCs/>
        </w:rPr>
        <w:t xml:space="preserve"> u iznosu od </w:t>
      </w:r>
      <w:r w:rsidR="00216CAF">
        <w:rPr>
          <w:rFonts w:ascii="Calibri" w:eastAsia="Calibri" w:hAnsi="Calibri" w:cs="Calibri"/>
          <w:iCs/>
        </w:rPr>
        <w:t>17.022.558,43</w:t>
      </w:r>
      <w:r>
        <w:rPr>
          <w:rFonts w:ascii="Calibri" w:eastAsia="Calibri" w:hAnsi="Calibri" w:cs="Calibri"/>
          <w:iCs/>
        </w:rPr>
        <w:t xml:space="preserve"> kn sudjeluju u ukupnim rashodima s </w:t>
      </w:r>
      <w:r w:rsidR="00216CAF">
        <w:rPr>
          <w:rFonts w:ascii="Calibri" w:eastAsia="Calibri" w:hAnsi="Calibri" w:cs="Calibri"/>
          <w:iCs/>
        </w:rPr>
        <w:t>31</w:t>
      </w:r>
      <w:r w:rsidR="007E56C8">
        <w:rPr>
          <w:rFonts w:ascii="Calibri" w:eastAsia="Calibri" w:hAnsi="Calibri" w:cs="Calibri"/>
          <w:iCs/>
        </w:rPr>
        <w:t>,07</w:t>
      </w:r>
      <w:r w:rsidR="00216CAF">
        <w:rPr>
          <w:rFonts w:ascii="Calibri" w:eastAsia="Calibri" w:hAnsi="Calibri" w:cs="Calibri"/>
          <w:iCs/>
        </w:rPr>
        <w:t>%</w:t>
      </w:r>
      <w:r>
        <w:rPr>
          <w:rFonts w:ascii="Calibri" w:eastAsia="Calibri" w:hAnsi="Calibri" w:cs="Calibri"/>
          <w:iCs/>
        </w:rPr>
        <w:t xml:space="preserve"> (20</w:t>
      </w:r>
      <w:r w:rsidR="00216CAF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>. godine iznosili su 2</w:t>
      </w:r>
      <w:r w:rsidR="00216CAF">
        <w:rPr>
          <w:rFonts w:ascii="Calibri" w:eastAsia="Calibri" w:hAnsi="Calibri" w:cs="Calibri"/>
          <w:iCs/>
        </w:rPr>
        <w:t>2</w:t>
      </w:r>
      <w:r>
        <w:rPr>
          <w:rFonts w:ascii="Calibri" w:eastAsia="Calibri" w:hAnsi="Calibri" w:cs="Calibri"/>
          <w:iCs/>
        </w:rPr>
        <w:t>.</w:t>
      </w:r>
      <w:r w:rsidR="00216CAF">
        <w:rPr>
          <w:rFonts w:ascii="Calibri" w:eastAsia="Calibri" w:hAnsi="Calibri" w:cs="Calibri"/>
          <w:iCs/>
        </w:rPr>
        <w:t>977.681,58</w:t>
      </w:r>
      <w:r>
        <w:rPr>
          <w:rFonts w:ascii="Calibri" w:eastAsia="Calibri" w:hAnsi="Calibri" w:cs="Calibri"/>
          <w:iCs/>
        </w:rPr>
        <w:t xml:space="preserve"> kn), a odnose se na troškove sirovina i materijala u iznosu od </w:t>
      </w:r>
      <w:r w:rsidR="005545ED">
        <w:rPr>
          <w:rFonts w:ascii="Calibri" w:eastAsia="Calibri" w:hAnsi="Calibri" w:cs="Calibri"/>
          <w:iCs/>
        </w:rPr>
        <w:t>7.733.876,27</w:t>
      </w:r>
      <w:r>
        <w:rPr>
          <w:rFonts w:ascii="Calibri" w:eastAsia="Calibri" w:hAnsi="Calibri" w:cs="Calibri"/>
          <w:iCs/>
        </w:rPr>
        <w:t xml:space="preserve"> kn (20</w:t>
      </w:r>
      <w:r w:rsidR="005545ED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5545ED">
        <w:rPr>
          <w:rFonts w:ascii="Calibri" w:eastAsia="Calibri" w:hAnsi="Calibri" w:cs="Calibri"/>
          <w:iCs/>
        </w:rPr>
        <w:t xml:space="preserve">8.359.310,75 </w:t>
      </w:r>
      <w:r>
        <w:rPr>
          <w:rFonts w:ascii="Calibri" w:eastAsia="Calibri" w:hAnsi="Calibri" w:cs="Calibri"/>
          <w:iCs/>
        </w:rPr>
        <w:t xml:space="preserve">kn) te ostale vanjske troškove </w:t>
      </w:r>
      <w:r w:rsidR="005545ED">
        <w:rPr>
          <w:rFonts w:ascii="Calibri" w:eastAsia="Calibri" w:hAnsi="Calibri" w:cs="Calibri"/>
          <w:iCs/>
        </w:rPr>
        <w:t>9.288.682,16</w:t>
      </w:r>
      <w:r>
        <w:rPr>
          <w:rFonts w:ascii="Calibri" w:eastAsia="Calibri" w:hAnsi="Calibri" w:cs="Calibri"/>
          <w:iCs/>
        </w:rPr>
        <w:t xml:space="preserve"> kn (20</w:t>
      </w:r>
      <w:r w:rsidR="005545ED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>. godine 1</w:t>
      </w:r>
      <w:r w:rsidR="005545ED">
        <w:rPr>
          <w:rFonts w:ascii="Calibri" w:eastAsia="Calibri" w:hAnsi="Calibri" w:cs="Calibri"/>
          <w:iCs/>
        </w:rPr>
        <w:t>4</w:t>
      </w:r>
      <w:r>
        <w:rPr>
          <w:rFonts w:ascii="Calibri" w:eastAsia="Calibri" w:hAnsi="Calibri" w:cs="Calibri"/>
          <w:iCs/>
        </w:rPr>
        <w:t>.</w:t>
      </w:r>
      <w:r w:rsidR="005545ED">
        <w:rPr>
          <w:rFonts w:ascii="Calibri" w:eastAsia="Calibri" w:hAnsi="Calibri" w:cs="Calibri"/>
          <w:iCs/>
        </w:rPr>
        <w:t>618</w:t>
      </w:r>
      <w:r>
        <w:rPr>
          <w:rFonts w:ascii="Calibri" w:eastAsia="Calibri" w:hAnsi="Calibri" w:cs="Calibri"/>
          <w:iCs/>
        </w:rPr>
        <w:t>.</w:t>
      </w:r>
      <w:r w:rsidR="005545ED">
        <w:rPr>
          <w:rFonts w:ascii="Calibri" w:eastAsia="Calibri" w:hAnsi="Calibri" w:cs="Calibri"/>
          <w:iCs/>
        </w:rPr>
        <w:t>370,83</w:t>
      </w:r>
      <w:r>
        <w:rPr>
          <w:rFonts w:ascii="Calibri" w:eastAsia="Calibri" w:hAnsi="Calibri" w:cs="Calibri"/>
          <w:iCs/>
        </w:rPr>
        <w:t xml:space="preserve"> kn).</w:t>
      </w:r>
      <w:r>
        <w:rPr>
          <w:rFonts w:ascii="Calibri" w:eastAsia="Calibri" w:hAnsi="Calibri" w:cs="Calibri"/>
        </w:rPr>
        <w:t xml:space="preserve"> </w:t>
      </w:r>
    </w:p>
    <w:p w14:paraId="2939ADDA" w14:textId="1EBED71E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Troškovi sirovina i materijala manji su od prošlogodišnjih za </w:t>
      </w:r>
      <w:r w:rsidR="007E56C8">
        <w:rPr>
          <w:rFonts w:ascii="Calibri" w:eastAsia="Calibri" w:hAnsi="Calibri" w:cs="Calibri"/>
          <w:iCs/>
        </w:rPr>
        <w:t>7,48</w:t>
      </w:r>
      <w:r>
        <w:rPr>
          <w:rFonts w:ascii="Calibri" w:eastAsia="Calibri" w:hAnsi="Calibri" w:cs="Calibri"/>
          <w:iCs/>
        </w:rPr>
        <w:t>%, a čine ih: trošak materijala, rezervnih dijelova i sitnog inventara (</w:t>
      </w:r>
      <w:r w:rsidR="00C75785">
        <w:rPr>
          <w:rFonts w:ascii="Calibri" w:eastAsia="Calibri" w:hAnsi="Calibri" w:cs="Calibri"/>
          <w:iCs/>
        </w:rPr>
        <w:t>3.</w:t>
      </w:r>
      <w:r w:rsidR="007E56C8">
        <w:rPr>
          <w:rFonts w:ascii="Calibri" w:eastAsia="Calibri" w:hAnsi="Calibri" w:cs="Calibri"/>
          <w:iCs/>
        </w:rPr>
        <w:t>243.218,98</w:t>
      </w:r>
      <w:r>
        <w:rPr>
          <w:rFonts w:ascii="Calibri" w:eastAsia="Calibri" w:hAnsi="Calibri" w:cs="Calibri"/>
          <w:iCs/>
        </w:rPr>
        <w:t xml:space="preserve"> kn), trošak kupljene vode s kopna (</w:t>
      </w:r>
      <w:r w:rsidR="00DD237A">
        <w:rPr>
          <w:rFonts w:ascii="Calibri" w:eastAsia="Calibri" w:hAnsi="Calibri" w:cs="Calibri"/>
          <w:iCs/>
        </w:rPr>
        <w:t>691.042,86</w:t>
      </w:r>
      <w:r>
        <w:rPr>
          <w:rFonts w:ascii="Calibri" w:eastAsia="Calibri" w:hAnsi="Calibri" w:cs="Calibri"/>
          <w:iCs/>
        </w:rPr>
        <w:t xml:space="preserve"> kn), trošak energije, goriva i maziva (3.</w:t>
      </w:r>
      <w:r w:rsidR="007E56C8">
        <w:rPr>
          <w:rFonts w:ascii="Calibri" w:eastAsia="Calibri" w:hAnsi="Calibri" w:cs="Calibri"/>
          <w:iCs/>
        </w:rPr>
        <w:t>669.579,85</w:t>
      </w:r>
      <w:r>
        <w:rPr>
          <w:rFonts w:ascii="Calibri" w:eastAsia="Calibri" w:hAnsi="Calibri" w:cs="Calibri"/>
          <w:iCs/>
        </w:rPr>
        <w:t xml:space="preserve"> kn), trošak uredskog materijala i zaštitne odjeće (</w:t>
      </w:r>
      <w:r w:rsidR="00DD237A">
        <w:rPr>
          <w:rFonts w:ascii="Calibri" w:eastAsia="Calibri" w:hAnsi="Calibri" w:cs="Calibri"/>
          <w:iCs/>
        </w:rPr>
        <w:t>130.034,58</w:t>
      </w:r>
      <w:r>
        <w:rPr>
          <w:rFonts w:ascii="Calibri" w:eastAsia="Calibri" w:hAnsi="Calibri" w:cs="Calibri"/>
          <w:iCs/>
        </w:rPr>
        <w:t xml:space="preserve"> kn).  </w:t>
      </w:r>
    </w:p>
    <w:p w14:paraId="24CF44B6" w14:textId="77777777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  <w:iCs/>
        </w:rPr>
      </w:pPr>
    </w:p>
    <w:p w14:paraId="3E8BBCA7" w14:textId="57618128" w:rsidR="000B6D3B" w:rsidRDefault="000B6D3B" w:rsidP="000B6D3B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Cs/>
        </w:rPr>
      </w:pPr>
      <w:bookmarkStart w:id="4" w:name="_Hlk72760907"/>
      <w:r>
        <w:rPr>
          <w:rFonts w:ascii="Calibri" w:eastAsia="Calibri" w:hAnsi="Calibri" w:cs="Calibri"/>
          <w:b/>
          <w:bCs/>
          <w:iCs/>
        </w:rPr>
        <w:t>Ostali vanjski troškovi</w:t>
      </w:r>
      <w:r>
        <w:rPr>
          <w:rFonts w:ascii="Calibri" w:eastAsia="Calibri" w:hAnsi="Calibri" w:cs="Calibri"/>
          <w:iCs/>
        </w:rPr>
        <w:t xml:space="preserve"> manji su od prošlogodišnjih za </w:t>
      </w:r>
      <w:r w:rsidR="007E56C8">
        <w:rPr>
          <w:rFonts w:ascii="Calibri" w:eastAsia="Calibri" w:hAnsi="Calibri" w:cs="Calibri"/>
          <w:iCs/>
        </w:rPr>
        <w:t>36,46</w:t>
      </w:r>
      <w:r>
        <w:rPr>
          <w:rFonts w:ascii="Calibri" w:eastAsia="Calibri" w:hAnsi="Calibri" w:cs="Calibri"/>
          <w:iCs/>
        </w:rPr>
        <w:t xml:space="preserve">%. U istima se ističe </w:t>
      </w:r>
      <w:r w:rsidR="00E8758D">
        <w:rPr>
          <w:rFonts w:ascii="Calibri" w:eastAsia="Calibri" w:hAnsi="Calibri" w:cs="Calibri"/>
          <w:iCs/>
        </w:rPr>
        <w:t xml:space="preserve">smanjenje </w:t>
      </w:r>
      <w:r>
        <w:rPr>
          <w:rFonts w:ascii="Calibri" w:eastAsia="Calibri" w:hAnsi="Calibri" w:cs="Calibri"/>
          <w:iCs/>
        </w:rPr>
        <w:t>troš</w:t>
      </w:r>
      <w:r w:rsidR="00E8758D">
        <w:rPr>
          <w:rFonts w:ascii="Calibri" w:eastAsia="Calibri" w:hAnsi="Calibri" w:cs="Calibri"/>
          <w:iCs/>
        </w:rPr>
        <w:t>ka</w:t>
      </w:r>
      <w:r>
        <w:rPr>
          <w:rFonts w:ascii="Calibri" w:eastAsia="Calibri" w:hAnsi="Calibri" w:cs="Calibri"/>
          <w:iCs/>
        </w:rPr>
        <w:t xml:space="preserve"> u iznosu od</w:t>
      </w:r>
      <w:r w:rsidR="004125CD">
        <w:rPr>
          <w:rFonts w:ascii="Calibri" w:eastAsia="Calibri" w:hAnsi="Calibri" w:cs="Calibri"/>
          <w:iCs/>
        </w:rPr>
        <w:t xml:space="preserve"> </w:t>
      </w:r>
      <w:r w:rsidR="00B10A2D">
        <w:rPr>
          <w:rFonts w:ascii="Calibri" w:eastAsia="Calibri" w:hAnsi="Calibri" w:cs="Calibri"/>
          <w:iCs/>
        </w:rPr>
        <w:t>316.225,71 kn u (2020.</w:t>
      </w:r>
      <w:r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Times New Roman" w:hAnsi="Calibri" w:cs="Calibri"/>
          <w:bCs/>
          <w:iCs/>
        </w:rPr>
        <w:t>7.031.894,13 kn</w:t>
      </w:r>
      <w:r w:rsidR="00B10A2D">
        <w:rPr>
          <w:rFonts w:ascii="Calibri" w:eastAsia="Calibri" w:hAnsi="Calibri" w:cs="Calibri"/>
          <w:iCs/>
        </w:rPr>
        <w:t>)</w:t>
      </w:r>
      <w:r w:rsidR="007E56C8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 xml:space="preserve">za usluge pružene drugim pravnim osobama po računima izvođača i nadzora, a koji je u </w:t>
      </w:r>
      <w:r>
        <w:rPr>
          <w:rFonts w:ascii="Calibri" w:eastAsia="Times New Roman" w:hAnsi="Calibri" w:cs="Calibri"/>
          <w:bCs/>
          <w:iCs/>
        </w:rPr>
        <w:t>istom iznosu iskazan i u prihodima</w:t>
      </w:r>
      <w:r>
        <w:rPr>
          <w:rFonts w:ascii="Calibri" w:eastAsia="Calibri" w:hAnsi="Calibri" w:cs="Calibri"/>
          <w:iCs/>
        </w:rPr>
        <w:t xml:space="preserve"> (</w:t>
      </w:r>
      <w:r w:rsidR="00B10A2D">
        <w:rPr>
          <w:rFonts w:ascii="Calibri" w:eastAsia="Calibri" w:hAnsi="Calibri" w:cs="Calibri"/>
          <w:iCs/>
        </w:rPr>
        <w:t>2</w:t>
      </w:r>
      <w:r w:rsidR="007E56C8">
        <w:rPr>
          <w:rFonts w:ascii="Calibri" w:eastAsia="Calibri" w:hAnsi="Calibri" w:cs="Calibri"/>
          <w:iCs/>
        </w:rPr>
        <w:t>20.305,46</w:t>
      </w:r>
      <w:r>
        <w:rPr>
          <w:rFonts w:ascii="Calibri" w:eastAsia="Times New Roman" w:hAnsi="Calibri" w:cs="Calibri"/>
          <w:bCs/>
          <w:iCs/>
        </w:rPr>
        <w:t xml:space="preserve"> kn usluga izgradnje EKM mreže u istom infrastrukturnom kanalu fekalne kanalizacije EU projekta te </w:t>
      </w:r>
      <w:r w:rsidR="007E56C8">
        <w:rPr>
          <w:rFonts w:ascii="Calibri" w:eastAsia="Times New Roman" w:hAnsi="Calibri" w:cs="Calibri"/>
          <w:bCs/>
          <w:iCs/>
        </w:rPr>
        <w:t>95.920,25</w:t>
      </w:r>
      <w:r>
        <w:rPr>
          <w:rFonts w:ascii="Calibri" w:eastAsia="Times New Roman" w:hAnsi="Calibri" w:cs="Calibri"/>
          <w:bCs/>
          <w:iCs/>
        </w:rPr>
        <w:t xml:space="preserve"> kn za druge radove). </w:t>
      </w:r>
    </w:p>
    <w:p w14:paraId="11D137E6" w14:textId="4FE6BE79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</w:rPr>
        <w:t xml:space="preserve">Osim navedenog, u ostalim </w:t>
      </w:r>
      <w:r>
        <w:rPr>
          <w:rFonts w:ascii="Calibri" w:eastAsia="Calibri" w:hAnsi="Calibri" w:cs="Calibri"/>
          <w:iCs/>
        </w:rPr>
        <w:t>vanjskim troškovima ističu se usluge održavanja (</w:t>
      </w:r>
      <w:r w:rsidR="004125CD">
        <w:rPr>
          <w:rFonts w:ascii="Calibri" w:eastAsia="Calibri" w:hAnsi="Calibri" w:cs="Calibri"/>
          <w:iCs/>
        </w:rPr>
        <w:t>3.609.193,03</w:t>
      </w:r>
      <w:r>
        <w:rPr>
          <w:rFonts w:ascii="Calibri" w:eastAsia="Calibri" w:hAnsi="Calibri" w:cs="Calibri"/>
          <w:iCs/>
        </w:rPr>
        <w:t xml:space="preserve"> kn </w:t>
      </w:r>
      <w:r w:rsidR="007E56C8">
        <w:rPr>
          <w:rFonts w:ascii="Calibri" w:eastAsia="Calibri" w:hAnsi="Calibri" w:cs="Calibri"/>
          <w:iCs/>
        </w:rPr>
        <w:t>–</w:t>
      </w:r>
      <w:r>
        <w:rPr>
          <w:rFonts w:ascii="Calibri" w:eastAsia="Calibri" w:hAnsi="Calibri" w:cs="Calibri"/>
          <w:iCs/>
        </w:rPr>
        <w:t xml:space="preserve"> </w:t>
      </w:r>
      <w:r w:rsidR="007E56C8">
        <w:rPr>
          <w:rFonts w:ascii="Calibri" w:eastAsia="Calibri" w:hAnsi="Calibri" w:cs="Calibri"/>
          <w:iCs/>
        </w:rPr>
        <w:t>71,64%</w:t>
      </w:r>
      <w:r>
        <w:rPr>
          <w:rFonts w:ascii="Calibri" w:eastAsia="Calibri" w:hAnsi="Calibri" w:cs="Calibri"/>
          <w:iCs/>
        </w:rPr>
        <w:t xml:space="preserve"> </w:t>
      </w:r>
      <w:r w:rsidR="004125CD">
        <w:rPr>
          <w:rFonts w:ascii="Calibri" w:eastAsia="Calibri" w:hAnsi="Calibri" w:cs="Calibri"/>
          <w:iCs/>
        </w:rPr>
        <w:t>veći</w:t>
      </w:r>
      <w:r>
        <w:rPr>
          <w:rFonts w:ascii="Calibri" w:eastAsia="Calibri" w:hAnsi="Calibri" w:cs="Calibri"/>
          <w:iCs/>
        </w:rPr>
        <w:t xml:space="preserve"> od 20</w:t>
      </w:r>
      <w:r w:rsidR="007E56C8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>. godine</w:t>
      </w:r>
      <w:r w:rsidR="004125CD">
        <w:rPr>
          <w:rFonts w:ascii="Calibri" w:eastAsia="Calibri" w:hAnsi="Calibri" w:cs="Calibri"/>
          <w:iCs/>
        </w:rPr>
        <w:t xml:space="preserve"> 2.102.773,08 kn</w:t>
      </w:r>
      <w:r>
        <w:rPr>
          <w:rFonts w:ascii="Calibri" w:eastAsia="Calibri" w:hAnsi="Calibri" w:cs="Calibri"/>
          <w:iCs/>
        </w:rPr>
        <w:t>), administrativno računovodstveni poslovi (3.</w:t>
      </w:r>
      <w:r w:rsidR="004125CD">
        <w:rPr>
          <w:rFonts w:ascii="Calibri" w:eastAsia="Calibri" w:hAnsi="Calibri" w:cs="Calibri"/>
          <w:iCs/>
        </w:rPr>
        <w:t>382</w:t>
      </w:r>
      <w:r>
        <w:rPr>
          <w:rFonts w:ascii="Calibri" w:eastAsia="Calibri" w:hAnsi="Calibri" w:cs="Calibri"/>
          <w:iCs/>
        </w:rPr>
        <w:t>.</w:t>
      </w:r>
      <w:r w:rsidR="004125CD">
        <w:rPr>
          <w:rFonts w:ascii="Calibri" w:eastAsia="Calibri" w:hAnsi="Calibri" w:cs="Calibri"/>
          <w:iCs/>
        </w:rPr>
        <w:t>233,59</w:t>
      </w:r>
      <w:r>
        <w:rPr>
          <w:rFonts w:ascii="Calibri" w:eastAsia="Calibri" w:hAnsi="Calibri" w:cs="Calibri"/>
          <w:iCs/>
        </w:rPr>
        <w:t xml:space="preserve"> kn) te ostale usluge (intelektualne, promidžba, zakupnine, zaštita na radu, sudski troškovi i pristojbe i slično – 1.9</w:t>
      </w:r>
      <w:r w:rsidR="00A25600">
        <w:rPr>
          <w:rFonts w:ascii="Calibri" w:eastAsia="Calibri" w:hAnsi="Calibri" w:cs="Calibri"/>
          <w:iCs/>
        </w:rPr>
        <w:t>81.029,83</w:t>
      </w:r>
      <w:r>
        <w:rPr>
          <w:rFonts w:ascii="Calibri" w:eastAsia="Calibri" w:hAnsi="Calibri" w:cs="Calibri"/>
          <w:iCs/>
        </w:rPr>
        <w:t xml:space="preserve"> kn). Dio ovih troškova (popravci pumpi te popravci vozila i opreme) pokriven je iz naknada šteta od osiguranja i nalazi se u prihodima.</w:t>
      </w:r>
    </w:p>
    <w:p w14:paraId="225A353E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</w:rPr>
      </w:pPr>
    </w:p>
    <w:bookmarkEnd w:id="4"/>
    <w:p w14:paraId="79B95852" w14:textId="5DD827C3" w:rsidR="000B6D3B" w:rsidRDefault="000B6D3B" w:rsidP="000B6D3B">
      <w:pPr>
        <w:spacing w:after="0" w:line="240" w:lineRule="auto"/>
        <w:ind w:right="92"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Troškovi osoblja</w:t>
      </w:r>
      <w:r>
        <w:rPr>
          <w:rFonts w:ascii="Calibri" w:eastAsia="Calibri" w:hAnsi="Calibri" w:cs="Calibri"/>
          <w:iCs/>
        </w:rPr>
        <w:t xml:space="preserve"> u iznosu od </w:t>
      </w:r>
      <w:r w:rsidR="00A25600">
        <w:rPr>
          <w:rFonts w:ascii="Calibri" w:eastAsia="Calibri" w:hAnsi="Calibri" w:cs="Calibri"/>
          <w:iCs/>
        </w:rPr>
        <w:t>11.430.504,35</w:t>
      </w:r>
      <w:r>
        <w:rPr>
          <w:rFonts w:ascii="Calibri" w:eastAsia="Calibri" w:hAnsi="Calibri" w:cs="Calibri"/>
          <w:iCs/>
        </w:rPr>
        <w:t xml:space="preserve"> kn (20</w:t>
      </w:r>
      <w:r w:rsidR="00A25600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A25600">
        <w:rPr>
          <w:rFonts w:ascii="Calibri" w:eastAsia="Calibri" w:hAnsi="Calibri" w:cs="Calibri"/>
          <w:iCs/>
        </w:rPr>
        <w:t>10.716.309,70</w:t>
      </w:r>
      <w:r>
        <w:rPr>
          <w:rFonts w:ascii="Calibri" w:eastAsia="Calibri" w:hAnsi="Calibri" w:cs="Calibri"/>
          <w:iCs/>
        </w:rPr>
        <w:t xml:space="preserve"> kn) sudjeluju u ukupnim rashodima s </w:t>
      </w:r>
      <w:r w:rsidR="00A25600">
        <w:rPr>
          <w:rFonts w:ascii="Calibri" w:eastAsia="Calibri" w:hAnsi="Calibri" w:cs="Calibri"/>
          <w:iCs/>
        </w:rPr>
        <w:t>2</w:t>
      </w:r>
      <w:r w:rsidR="007E56C8">
        <w:rPr>
          <w:rFonts w:ascii="Calibri" w:eastAsia="Calibri" w:hAnsi="Calibri" w:cs="Calibri"/>
          <w:iCs/>
        </w:rPr>
        <w:t>0,86</w:t>
      </w:r>
      <w:r>
        <w:rPr>
          <w:rFonts w:ascii="Calibri" w:eastAsia="Calibri" w:hAnsi="Calibri" w:cs="Calibri"/>
          <w:iCs/>
        </w:rPr>
        <w:t>%. Prosječna bruto plaća u 202</w:t>
      </w:r>
      <w:r w:rsidR="00A25600">
        <w:rPr>
          <w:rFonts w:ascii="Calibri" w:eastAsia="Calibri" w:hAnsi="Calibri" w:cs="Calibri"/>
          <w:iCs/>
        </w:rPr>
        <w:t>1</w:t>
      </w:r>
      <w:r>
        <w:rPr>
          <w:rFonts w:ascii="Calibri" w:eastAsia="Calibri" w:hAnsi="Calibri" w:cs="Calibri"/>
          <w:iCs/>
        </w:rPr>
        <w:t xml:space="preserve"> . godini iznosila je </w:t>
      </w:r>
      <w:r w:rsidR="00A25600">
        <w:rPr>
          <w:rFonts w:ascii="Calibri" w:eastAsia="Calibri" w:hAnsi="Calibri" w:cs="Calibri"/>
          <w:iCs/>
        </w:rPr>
        <w:t>9.177,82</w:t>
      </w:r>
      <w:r>
        <w:rPr>
          <w:rFonts w:ascii="Calibri" w:eastAsia="Calibri" w:hAnsi="Calibri" w:cs="Calibri"/>
          <w:iCs/>
        </w:rPr>
        <w:t xml:space="preserve"> kn, a neto </w:t>
      </w:r>
      <w:r w:rsidR="00A25600">
        <w:rPr>
          <w:rFonts w:ascii="Calibri" w:eastAsia="Calibri" w:hAnsi="Calibri" w:cs="Calibri"/>
          <w:iCs/>
        </w:rPr>
        <w:t>6.883,47</w:t>
      </w:r>
      <w:r>
        <w:rPr>
          <w:rFonts w:ascii="Calibri" w:eastAsia="Calibri" w:hAnsi="Calibri" w:cs="Calibri"/>
          <w:iCs/>
        </w:rPr>
        <w:t xml:space="preserve"> kn, dok je u 20</w:t>
      </w:r>
      <w:r w:rsidR="00A25600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godini prosječna bruto plaća iznosila </w:t>
      </w:r>
      <w:r w:rsidR="00A25600">
        <w:rPr>
          <w:rFonts w:ascii="Calibri" w:eastAsia="Calibri" w:hAnsi="Calibri" w:cs="Calibri"/>
          <w:iCs/>
        </w:rPr>
        <w:t>8.752,94</w:t>
      </w:r>
      <w:r>
        <w:rPr>
          <w:rFonts w:ascii="Calibri" w:eastAsia="Calibri" w:hAnsi="Calibri" w:cs="Calibri"/>
          <w:iCs/>
        </w:rPr>
        <w:t xml:space="preserve"> kn, a neto 6.</w:t>
      </w:r>
      <w:r w:rsidR="00A25600">
        <w:rPr>
          <w:rFonts w:ascii="Calibri" w:eastAsia="Calibri" w:hAnsi="Calibri" w:cs="Calibri"/>
          <w:iCs/>
        </w:rPr>
        <w:t>545,32</w:t>
      </w:r>
      <w:r>
        <w:rPr>
          <w:rFonts w:ascii="Calibri" w:eastAsia="Calibri" w:hAnsi="Calibri" w:cs="Calibri"/>
          <w:iCs/>
        </w:rPr>
        <w:t xml:space="preserve"> kn. </w:t>
      </w:r>
    </w:p>
    <w:p w14:paraId="567E48F5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bCs/>
          <w:iCs/>
        </w:rPr>
      </w:pPr>
    </w:p>
    <w:p w14:paraId="45C1D2EB" w14:textId="288250FD" w:rsidR="000B6D3B" w:rsidRDefault="000B6D3B" w:rsidP="000B6D3B">
      <w:pPr>
        <w:spacing w:after="0" w:line="240" w:lineRule="auto"/>
        <w:ind w:right="92"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 xml:space="preserve">Troškovi amortizacije </w:t>
      </w:r>
      <w:r>
        <w:rPr>
          <w:rFonts w:ascii="Calibri" w:eastAsia="Calibri" w:hAnsi="Calibri" w:cs="Calibri"/>
          <w:iCs/>
        </w:rPr>
        <w:t>u 202</w:t>
      </w:r>
      <w:r w:rsidR="00AA0E8D">
        <w:rPr>
          <w:rFonts w:ascii="Calibri" w:eastAsia="Calibri" w:hAnsi="Calibri" w:cs="Calibri"/>
          <w:iCs/>
        </w:rPr>
        <w:t>1</w:t>
      </w:r>
      <w:r>
        <w:rPr>
          <w:rFonts w:ascii="Calibri" w:eastAsia="Calibri" w:hAnsi="Calibri" w:cs="Calibri"/>
          <w:iCs/>
        </w:rPr>
        <w:t xml:space="preserve">. godini iznose </w:t>
      </w:r>
      <w:r w:rsidR="00AA0E8D">
        <w:rPr>
          <w:rFonts w:ascii="Calibri" w:eastAsia="Calibri" w:hAnsi="Calibri" w:cs="Calibri"/>
          <w:iCs/>
        </w:rPr>
        <w:t>20.274.157,14</w:t>
      </w:r>
      <w:r>
        <w:rPr>
          <w:rFonts w:ascii="Calibri" w:eastAsia="Calibri" w:hAnsi="Calibri" w:cs="Calibri"/>
          <w:iCs/>
        </w:rPr>
        <w:t xml:space="preserve"> kn (20</w:t>
      </w:r>
      <w:r w:rsidR="00AA0E8D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>. godine 19.</w:t>
      </w:r>
      <w:r w:rsidR="00AA0E8D">
        <w:rPr>
          <w:rFonts w:ascii="Calibri" w:eastAsia="Calibri" w:hAnsi="Calibri" w:cs="Calibri"/>
          <w:iCs/>
        </w:rPr>
        <w:t>801.153,70</w:t>
      </w:r>
      <w:r>
        <w:rPr>
          <w:rFonts w:ascii="Calibri" w:eastAsia="Calibri" w:hAnsi="Calibri" w:cs="Calibri"/>
          <w:iCs/>
        </w:rPr>
        <w:t xml:space="preserve"> kn) i sudjeluju u ukupnim rashodima s </w:t>
      </w:r>
      <w:r w:rsidR="00AA0E8D">
        <w:rPr>
          <w:rFonts w:ascii="Calibri" w:eastAsia="Calibri" w:hAnsi="Calibri" w:cs="Calibri"/>
          <w:iCs/>
        </w:rPr>
        <w:t>37</w:t>
      </w:r>
      <w:r w:rsidR="007E56C8">
        <w:rPr>
          <w:rFonts w:ascii="Calibri" w:eastAsia="Calibri" w:hAnsi="Calibri" w:cs="Calibri"/>
          <w:iCs/>
        </w:rPr>
        <w:t>,01</w:t>
      </w:r>
      <w:r>
        <w:rPr>
          <w:rFonts w:ascii="Calibri" w:eastAsia="Calibri" w:hAnsi="Calibri" w:cs="Calibri"/>
          <w:iCs/>
        </w:rPr>
        <w:t>% .</w:t>
      </w:r>
    </w:p>
    <w:p w14:paraId="37C55B23" w14:textId="17B13B42" w:rsidR="000B6D3B" w:rsidRDefault="000B6D3B" w:rsidP="000B6D3B">
      <w:pPr>
        <w:tabs>
          <w:tab w:val="left" w:pos="-180"/>
        </w:tabs>
        <w:spacing w:after="0" w:line="240" w:lineRule="auto"/>
        <w:ind w:right="140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Društvo je iskazalo prihod u visini obračunate amortizacije imovine nabavljene iz sredstava potpora u iznosu </w:t>
      </w:r>
      <w:r w:rsidR="00AA0E8D">
        <w:rPr>
          <w:rFonts w:ascii="Calibri" w:eastAsia="Calibri" w:hAnsi="Calibri" w:cs="Calibri"/>
          <w:iCs/>
        </w:rPr>
        <w:t>6.528.825,70</w:t>
      </w:r>
      <w:r>
        <w:rPr>
          <w:rFonts w:ascii="Calibri" w:eastAsia="Calibri" w:hAnsi="Calibri" w:cs="Calibri"/>
          <w:iCs/>
        </w:rPr>
        <w:t xml:space="preserve"> kn (u 20</w:t>
      </w:r>
      <w:r w:rsidR="00AA0E8D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>. godini 5.</w:t>
      </w:r>
      <w:r w:rsidR="00AA0E8D">
        <w:rPr>
          <w:rFonts w:ascii="Calibri" w:eastAsia="Calibri" w:hAnsi="Calibri" w:cs="Calibri"/>
          <w:iCs/>
        </w:rPr>
        <w:t>682.656,44</w:t>
      </w:r>
      <w:r>
        <w:rPr>
          <w:rFonts w:ascii="Calibri" w:eastAsia="Calibri" w:hAnsi="Calibri" w:cs="Calibri"/>
          <w:iCs/>
        </w:rPr>
        <w:t xml:space="preserve"> kn). Efekt na rezultat Društva iznosi </w:t>
      </w:r>
      <w:r w:rsidR="00AA0E8D">
        <w:rPr>
          <w:rFonts w:ascii="Calibri" w:eastAsia="Calibri" w:hAnsi="Calibri" w:cs="Calibri"/>
          <w:iCs/>
        </w:rPr>
        <w:t>13.745.331,44</w:t>
      </w:r>
      <w:r>
        <w:rPr>
          <w:rFonts w:ascii="Calibri" w:eastAsia="Calibri" w:hAnsi="Calibri" w:cs="Calibri"/>
          <w:iCs/>
        </w:rPr>
        <w:t xml:space="preserve"> kn.</w:t>
      </w:r>
    </w:p>
    <w:p w14:paraId="2946186C" w14:textId="77777777" w:rsidR="000B6D3B" w:rsidRDefault="000B6D3B" w:rsidP="000B6D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14:paraId="01239E63" w14:textId="48B21F52" w:rsidR="000B6D3B" w:rsidRDefault="000B6D3B" w:rsidP="000B6D3B">
      <w:pPr>
        <w:spacing w:after="0" w:line="240" w:lineRule="auto"/>
        <w:ind w:right="92"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troškovi poslovanja</w:t>
      </w:r>
      <w:r>
        <w:rPr>
          <w:rFonts w:ascii="Calibri" w:eastAsia="Calibri" w:hAnsi="Calibri" w:cs="Calibri"/>
          <w:iCs/>
        </w:rPr>
        <w:t xml:space="preserve"> iznose </w:t>
      </w:r>
      <w:r w:rsidR="00AA0E8D">
        <w:rPr>
          <w:rFonts w:ascii="Calibri" w:eastAsia="Calibri" w:hAnsi="Calibri" w:cs="Calibri"/>
          <w:iCs/>
        </w:rPr>
        <w:t>2.055.772,09</w:t>
      </w:r>
      <w:r>
        <w:rPr>
          <w:rFonts w:ascii="Calibri" w:eastAsia="Calibri" w:hAnsi="Calibri" w:cs="Calibri"/>
          <w:iCs/>
        </w:rPr>
        <w:t xml:space="preserve"> kn (20</w:t>
      </w:r>
      <w:r w:rsidR="00AA0E8D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AA0E8D">
        <w:rPr>
          <w:rFonts w:ascii="Calibri" w:eastAsia="Calibri" w:hAnsi="Calibri" w:cs="Calibri"/>
          <w:iCs/>
        </w:rPr>
        <w:t>1.429.204,39</w:t>
      </w:r>
      <w:r>
        <w:rPr>
          <w:rFonts w:ascii="Calibri" w:eastAsia="Calibri" w:hAnsi="Calibri" w:cs="Calibri"/>
          <w:iCs/>
        </w:rPr>
        <w:t xml:space="preserve"> kn) i sudjeluju u ukupnim rashodima s </w:t>
      </w:r>
      <w:r w:rsidR="00AA0E8D">
        <w:rPr>
          <w:rFonts w:ascii="Calibri" w:eastAsia="Calibri" w:hAnsi="Calibri" w:cs="Calibri"/>
          <w:iCs/>
        </w:rPr>
        <w:t>3,7</w:t>
      </w:r>
      <w:r w:rsidR="003F45A8">
        <w:rPr>
          <w:rFonts w:ascii="Calibri" w:eastAsia="Calibri" w:hAnsi="Calibri" w:cs="Calibri"/>
          <w:iCs/>
        </w:rPr>
        <w:t>5</w:t>
      </w:r>
      <w:r>
        <w:rPr>
          <w:rFonts w:ascii="Calibri" w:eastAsia="Calibri" w:hAnsi="Calibri" w:cs="Calibri"/>
          <w:iCs/>
        </w:rPr>
        <w:t xml:space="preserve">%. Navedeni troškovi obuhvaćaju: naknade zaposlenicima (prijevoz, prigodna nagrada, pomoći i slično – </w:t>
      </w:r>
      <w:r w:rsidR="003F45A8">
        <w:rPr>
          <w:rFonts w:ascii="Calibri" w:eastAsia="Calibri" w:hAnsi="Calibri" w:cs="Calibri"/>
          <w:iCs/>
        </w:rPr>
        <w:t>937.638,00</w:t>
      </w:r>
      <w:r>
        <w:rPr>
          <w:rFonts w:ascii="Calibri" w:eastAsia="Calibri" w:hAnsi="Calibri" w:cs="Calibri"/>
          <w:iCs/>
        </w:rPr>
        <w:t xml:space="preserve"> kn),  premije osiguranja (4</w:t>
      </w:r>
      <w:r w:rsidR="005E3EC4">
        <w:rPr>
          <w:rFonts w:ascii="Calibri" w:eastAsia="Calibri" w:hAnsi="Calibri" w:cs="Calibri"/>
          <w:iCs/>
        </w:rPr>
        <w:t>74</w:t>
      </w:r>
      <w:r>
        <w:rPr>
          <w:rFonts w:ascii="Calibri" w:eastAsia="Calibri" w:hAnsi="Calibri" w:cs="Calibri"/>
          <w:iCs/>
        </w:rPr>
        <w:t>.</w:t>
      </w:r>
      <w:r w:rsidR="005E3EC4">
        <w:rPr>
          <w:rFonts w:ascii="Calibri" w:eastAsia="Calibri" w:hAnsi="Calibri" w:cs="Calibri"/>
          <w:iCs/>
        </w:rPr>
        <w:t>682,93</w:t>
      </w:r>
      <w:r>
        <w:rPr>
          <w:rFonts w:ascii="Calibri" w:eastAsia="Calibri" w:hAnsi="Calibri" w:cs="Calibri"/>
          <w:iCs/>
        </w:rPr>
        <w:t xml:space="preserve"> kn), bankarske usluge i provizije (</w:t>
      </w:r>
      <w:r w:rsidR="005E3EC4">
        <w:rPr>
          <w:rFonts w:ascii="Calibri" w:eastAsia="Calibri" w:hAnsi="Calibri" w:cs="Calibri"/>
          <w:iCs/>
        </w:rPr>
        <w:t>188.473,09</w:t>
      </w:r>
      <w:r>
        <w:rPr>
          <w:rFonts w:ascii="Calibri" w:eastAsia="Calibri" w:hAnsi="Calibri" w:cs="Calibri"/>
          <w:iCs/>
        </w:rPr>
        <w:t xml:space="preserve"> kn), koncesijske naknade na zahvaćanu vodu (</w:t>
      </w:r>
      <w:r w:rsidR="005E3EC4">
        <w:rPr>
          <w:rFonts w:ascii="Calibri" w:eastAsia="Calibri" w:hAnsi="Calibri" w:cs="Calibri"/>
          <w:iCs/>
        </w:rPr>
        <w:t>181.368,47</w:t>
      </w:r>
      <w:r>
        <w:rPr>
          <w:rFonts w:ascii="Calibri" w:eastAsia="Calibri" w:hAnsi="Calibri" w:cs="Calibri"/>
          <w:iCs/>
        </w:rPr>
        <w:t xml:space="preserve"> kn) te ostale troškove (reprezentacija, porezi i doprinosi koji ne ovise o poslovnom rezultatu, ugovori o djelu, stručno obrazovanje – </w:t>
      </w:r>
      <w:r w:rsidR="003F45A8">
        <w:rPr>
          <w:rFonts w:ascii="Calibri" w:eastAsia="Calibri" w:hAnsi="Calibri" w:cs="Calibri"/>
          <w:iCs/>
        </w:rPr>
        <w:t>273.609,60</w:t>
      </w:r>
      <w:r>
        <w:rPr>
          <w:rFonts w:ascii="Calibri" w:eastAsia="Calibri" w:hAnsi="Calibri" w:cs="Calibri"/>
          <w:iCs/>
        </w:rPr>
        <w:t xml:space="preserve"> kn). </w:t>
      </w:r>
    </w:p>
    <w:p w14:paraId="4E7FE374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1B45A86B" w14:textId="22697D38" w:rsidR="000B6D3B" w:rsidRDefault="000B6D3B" w:rsidP="000B6D3B">
      <w:pPr>
        <w:spacing w:after="0" w:line="240" w:lineRule="auto"/>
        <w:ind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Troškovi vrijednosnog usklađenja i otpisa potraživanja</w:t>
      </w:r>
      <w:r>
        <w:rPr>
          <w:rFonts w:ascii="Calibri" w:eastAsia="Calibri" w:hAnsi="Calibri" w:cs="Calibri"/>
          <w:iCs/>
        </w:rPr>
        <w:t xml:space="preserve"> u 202</w:t>
      </w:r>
      <w:r w:rsidR="005E3EC4">
        <w:rPr>
          <w:rFonts w:ascii="Calibri" w:eastAsia="Calibri" w:hAnsi="Calibri" w:cs="Calibri"/>
          <w:iCs/>
        </w:rPr>
        <w:t>1</w:t>
      </w:r>
      <w:r>
        <w:rPr>
          <w:rFonts w:ascii="Calibri" w:eastAsia="Calibri" w:hAnsi="Calibri" w:cs="Calibri"/>
          <w:iCs/>
        </w:rPr>
        <w:t>. godini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Cs/>
        </w:rPr>
        <w:t xml:space="preserve"> iznose </w:t>
      </w:r>
      <w:r w:rsidR="005E3EC4">
        <w:rPr>
          <w:rFonts w:ascii="Calibri" w:eastAsia="Calibri" w:hAnsi="Calibri" w:cs="Calibri"/>
          <w:iCs/>
        </w:rPr>
        <w:t>60.149,00</w:t>
      </w:r>
      <w:r>
        <w:rPr>
          <w:rFonts w:ascii="Calibri" w:eastAsia="Calibri" w:hAnsi="Calibri" w:cs="Calibri"/>
          <w:iCs/>
        </w:rPr>
        <w:t xml:space="preserve"> kn (20</w:t>
      </w:r>
      <w:r w:rsidR="005E3EC4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5E3EC4">
        <w:rPr>
          <w:rFonts w:ascii="Calibri" w:eastAsia="Calibri" w:hAnsi="Calibri" w:cs="Calibri"/>
          <w:iCs/>
        </w:rPr>
        <w:t>319.962,31</w:t>
      </w:r>
      <w:r>
        <w:rPr>
          <w:rFonts w:ascii="Calibri" w:eastAsia="Calibri" w:hAnsi="Calibri" w:cs="Calibri"/>
          <w:iCs/>
        </w:rPr>
        <w:t>kn) i sudjeluju u ukupnim rashodima s 0,</w:t>
      </w:r>
      <w:r w:rsidR="003F45A8">
        <w:rPr>
          <w:rFonts w:ascii="Calibri" w:eastAsia="Calibri" w:hAnsi="Calibri" w:cs="Calibri"/>
          <w:iCs/>
        </w:rPr>
        <w:t>11</w:t>
      </w:r>
      <w:r>
        <w:rPr>
          <w:rFonts w:ascii="Calibri" w:eastAsia="Calibri" w:hAnsi="Calibri" w:cs="Calibri"/>
          <w:iCs/>
        </w:rPr>
        <w:t>%. Obuhvaćaju potraživanja za koja su pokrenuti ovršni postupci ili potraživanja koja su prijavljena u (pred)stečajnu nagodbu  te</w:t>
      </w:r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  <w:iCs/>
        </w:rPr>
        <w:t xml:space="preserve">tpis nenaplativih potraživanja). </w:t>
      </w:r>
    </w:p>
    <w:p w14:paraId="5A5AD68E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69E5DC93" w14:textId="6F3065E0" w:rsidR="000B6D3B" w:rsidRDefault="000B6D3B" w:rsidP="000B6D3B">
      <w:pPr>
        <w:spacing w:after="0" w:line="240" w:lineRule="auto"/>
        <w:ind w:right="92"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Ostali poslovni rashodi</w:t>
      </w:r>
      <w:r>
        <w:rPr>
          <w:rFonts w:ascii="Calibri" w:eastAsia="Calibri" w:hAnsi="Calibri" w:cs="Calibri"/>
          <w:iCs/>
        </w:rPr>
        <w:t xml:space="preserve"> u iznosu od </w:t>
      </w:r>
      <w:r w:rsidR="005E3EC4">
        <w:rPr>
          <w:rFonts w:ascii="Calibri" w:eastAsia="Calibri" w:hAnsi="Calibri" w:cs="Calibri"/>
          <w:iCs/>
        </w:rPr>
        <w:t>2.547.291,20</w:t>
      </w:r>
      <w:r>
        <w:rPr>
          <w:rFonts w:ascii="Calibri" w:eastAsia="Calibri" w:hAnsi="Calibri" w:cs="Calibri"/>
          <w:iCs/>
        </w:rPr>
        <w:t xml:space="preserve"> kn (20</w:t>
      </w:r>
      <w:r w:rsidR="005E3EC4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5E3EC4">
        <w:rPr>
          <w:rFonts w:ascii="Calibri" w:eastAsia="Calibri" w:hAnsi="Calibri" w:cs="Calibri"/>
          <w:iCs/>
        </w:rPr>
        <w:t>57.949,63</w:t>
      </w:r>
      <w:r>
        <w:rPr>
          <w:rFonts w:ascii="Calibri" w:eastAsia="Calibri" w:hAnsi="Calibri" w:cs="Calibri"/>
          <w:iCs/>
        </w:rPr>
        <w:t xml:space="preserve"> kn)</w:t>
      </w:r>
      <w:r w:rsidR="005E3EC4">
        <w:rPr>
          <w:rFonts w:ascii="Calibri" w:eastAsia="Calibri" w:hAnsi="Calibri" w:cs="Calibri"/>
          <w:iCs/>
        </w:rPr>
        <w:t>.</w:t>
      </w:r>
      <w:r>
        <w:rPr>
          <w:rFonts w:ascii="Calibri" w:eastAsia="Calibri" w:hAnsi="Calibri" w:cs="Calibri"/>
          <w:iCs/>
        </w:rPr>
        <w:t xml:space="preserve"> Odnose se na  naknadu šteta, prekršajne kazne i neotpisanu vrijednost rashodovane imovine.</w:t>
      </w:r>
    </w:p>
    <w:p w14:paraId="324BEF2F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2623BA9D" w14:textId="0FF9247E" w:rsidR="000B6D3B" w:rsidRDefault="000B6D3B" w:rsidP="000B6D3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Financijski rashodi</w:t>
      </w:r>
      <w:r>
        <w:rPr>
          <w:rFonts w:ascii="Calibri" w:eastAsia="Calibri" w:hAnsi="Calibri" w:cs="Calibri"/>
          <w:iCs/>
        </w:rPr>
        <w:t xml:space="preserve"> u iznosu od 1.</w:t>
      </w:r>
      <w:r w:rsidR="00A326C1">
        <w:rPr>
          <w:rFonts w:ascii="Calibri" w:eastAsia="Calibri" w:hAnsi="Calibri" w:cs="Calibri"/>
          <w:iCs/>
        </w:rPr>
        <w:t>392.968,22</w:t>
      </w:r>
      <w:r>
        <w:rPr>
          <w:rFonts w:ascii="Calibri" w:eastAsia="Calibri" w:hAnsi="Calibri" w:cs="Calibri"/>
          <w:iCs/>
        </w:rPr>
        <w:t xml:space="preserve"> kn (20</w:t>
      </w:r>
      <w:r w:rsidR="00A326C1">
        <w:rPr>
          <w:rFonts w:ascii="Calibri" w:eastAsia="Calibri" w:hAnsi="Calibri" w:cs="Calibri"/>
          <w:iCs/>
        </w:rPr>
        <w:t>20</w:t>
      </w:r>
      <w:r>
        <w:rPr>
          <w:rFonts w:ascii="Calibri" w:eastAsia="Calibri" w:hAnsi="Calibri" w:cs="Calibri"/>
          <w:iCs/>
        </w:rPr>
        <w:t xml:space="preserve">. godine </w:t>
      </w:r>
      <w:r w:rsidR="00A326C1">
        <w:rPr>
          <w:rFonts w:ascii="Calibri" w:eastAsia="Calibri" w:hAnsi="Calibri" w:cs="Calibri"/>
          <w:iCs/>
        </w:rPr>
        <w:t>1.389.308,39</w:t>
      </w:r>
      <w:r>
        <w:rPr>
          <w:rFonts w:ascii="Calibri" w:eastAsia="Calibri" w:hAnsi="Calibri" w:cs="Calibri"/>
          <w:iCs/>
        </w:rPr>
        <w:t xml:space="preserve"> kn) odnose se na kamate </w:t>
      </w:r>
      <w:r w:rsidR="00815FEE">
        <w:rPr>
          <w:rFonts w:ascii="Calibri" w:eastAsia="Calibri" w:hAnsi="Calibri" w:cs="Calibri"/>
          <w:iCs/>
        </w:rPr>
        <w:t xml:space="preserve">i naknade </w:t>
      </w:r>
      <w:r>
        <w:rPr>
          <w:rFonts w:ascii="Calibri" w:eastAsia="Calibri" w:hAnsi="Calibri" w:cs="Calibri"/>
          <w:iCs/>
        </w:rPr>
        <w:t>po kreditima (1.</w:t>
      </w:r>
      <w:r w:rsidR="00A326C1">
        <w:rPr>
          <w:rFonts w:ascii="Calibri" w:eastAsia="Calibri" w:hAnsi="Calibri" w:cs="Calibri"/>
          <w:iCs/>
        </w:rPr>
        <w:t>390.600,64</w:t>
      </w:r>
      <w:r>
        <w:rPr>
          <w:rFonts w:ascii="Calibri" w:eastAsia="Calibri" w:hAnsi="Calibri" w:cs="Calibri"/>
          <w:iCs/>
        </w:rPr>
        <w:t xml:space="preserve"> kn), negativne tečajne razlike (</w:t>
      </w:r>
      <w:r w:rsidR="00A326C1">
        <w:rPr>
          <w:rFonts w:ascii="Calibri" w:eastAsia="Calibri" w:hAnsi="Calibri" w:cs="Calibri"/>
          <w:iCs/>
        </w:rPr>
        <w:t>1.760,74</w:t>
      </w:r>
      <w:r>
        <w:rPr>
          <w:rFonts w:ascii="Calibri" w:eastAsia="Calibri" w:hAnsi="Calibri" w:cs="Calibri"/>
          <w:iCs/>
        </w:rPr>
        <w:t xml:space="preserve"> kn) te zatezne kamate na zakašnjela plaćanja (</w:t>
      </w:r>
      <w:r w:rsidR="00A326C1">
        <w:rPr>
          <w:rFonts w:ascii="Calibri" w:eastAsia="Calibri" w:hAnsi="Calibri" w:cs="Calibri"/>
          <w:iCs/>
        </w:rPr>
        <w:t>606,84</w:t>
      </w:r>
      <w:r>
        <w:rPr>
          <w:rFonts w:ascii="Calibri" w:eastAsia="Calibri" w:hAnsi="Calibri" w:cs="Calibri"/>
          <w:iCs/>
        </w:rPr>
        <w:t xml:space="preserve"> kn). Dio kamata po kreditima otplaćuju jedinice lokalne samouprave te je ostvaren i prihod od potpora za pokriće tih troškova</w:t>
      </w:r>
      <w:r w:rsidR="00815FEE">
        <w:rPr>
          <w:rFonts w:ascii="Calibri" w:eastAsia="Calibri" w:hAnsi="Calibri" w:cs="Calibri"/>
          <w:iCs/>
        </w:rPr>
        <w:t xml:space="preserve"> (505.222,67 kn)</w:t>
      </w:r>
      <w:r>
        <w:rPr>
          <w:rFonts w:ascii="Calibri" w:eastAsia="Calibri" w:hAnsi="Calibri" w:cs="Calibri"/>
          <w:iCs/>
        </w:rPr>
        <w:t xml:space="preserve">, a dio se </w:t>
      </w:r>
      <w:r>
        <w:rPr>
          <w:rFonts w:ascii="Calibri" w:eastAsia="Calibri" w:hAnsi="Calibri" w:cs="Calibri"/>
          <w:iCs/>
        </w:rPr>
        <w:lastRenderedPageBreak/>
        <w:t>otplaćuje iz prikupljenih sredstava naknade za razvoj te je ostvaren prihod za pokriće tih troškova</w:t>
      </w:r>
      <w:r w:rsidR="00815FEE">
        <w:rPr>
          <w:rFonts w:ascii="Calibri" w:eastAsia="Calibri" w:hAnsi="Calibri" w:cs="Calibri"/>
          <w:iCs/>
        </w:rPr>
        <w:t xml:space="preserve"> (19.171,30 kn)</w:t>
      </w:r>
      <w:r>
        <w:rPr>
          <w:rFonts w:ascii="Calibri" w:eastAsia="Calibri" w:hAnsi="Calibri" w:cs="Calibri"/>
          <w:iCs/>
        </w:rPr>
        <w:t>.</w:t>
      </w:r>
    </w:p>
    <w:p w14:paraId="43BAD906" w14:textId="7DF575DD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Financijski rashodi sudjeluju u ukupnim rashodima s 2,5</w:t>
      </w:r>
      <w:r w:rsidR="00815FEE">
        <w:rPr>
          <w:rFonts w:ascii="Calibri" w:eastAsia="Calibri" w:hAnsi="Calibri" w:cs="Calibri"/>
          <w:iCs/>
        </w:rPr>
        <w:t>4</w:t>
      </w:r>
      <w:r>
        <w:rPr>
          <w:rFonts w:ascii="Calibri" w:eastAsia="Calibri" w:hAnsi="Calibri" w:cs="Calibri"/>
          <w:iCs/>
        </w:rPr>
        <w:t>%.</w:t>
      </w:r>
    </w:p>
    <w:p w14:paraId="4CB79FC9" w14:textId="3B79CFA4" w:rsidR="00815FEE" w:rsidRDefault="00815FEE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4B1F9674" w14:textId="77777777" w:rsidR="00815FEE" w:rsidRDefault="00815FEE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735AE405" w14:textId="77777777" w:rsidR="000B6D3B" w:rsidRPr="00D94225" w:rsidRDefault="000B6D3B" w:rsidP="000B6D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iCs/>
          <w:sz w:val="24"/>
          <w:szCs w:val="24"/>
        </w:rPr>
      </w:pPr>
      <w:r w:rsidRPr="00D94225">
        <w:rPr>
          <w:rFonts w:ascii="Calibri" w:eastAsia="Times New Roman" w:hAnsi="Calibri" w:cs="Calibri"/>
          <w:b/>
          <w:iCs/>
          <w:sz w:val="24"/>
          <w:szCs w:val="24"/>
        </w:rPr>
        <w:t>ZNAČAJNE INVESTICIJE</w:t>
      </w:r>
    </w:p>
    <w:p w14:paraId="00EA7946" w14:textId="77777777" w:rsidR="000B6D3B" w:rsidRPr="00D94225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3E3B2F32" w14:textId="0AA4B127" w:rsidR="000B6D3B" w:rsidRPr="00D94225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D94225">
        <w:rPr>
          <w:rFonts w:ascii="Calibri" w:eastAsia="Calibri" w:hAnsi="Calibri" w:cs="Calibri"/>
          <w:iCs/>
        </w:rPr>
        <w:t>U 202</w:t>
      </w:r>
      <w:r w:rsidR="00A326C1" w:rsidRPr="00D94225">
        <w:rPr>
          <w:rFonts w:ascii="Calibri" w:eastAsia="Calibri" w:hAnsi="Calibri" w:cs="Calibri"/>
          <w:iCs/>
        </w:rPr>
        <w:t>1</w:t>
      </w:r>
      <w:r w:rsidRPr="00D94225">
        <w:rPr>
          <w:rFonts w:ascii="Calibri" w:eastAsia="Calibri" w:hAnsi="Calibri" w:cs="Calibri"/>
          <w:iCs/>
        </w:rPr>
        <w:t>. godini treba istaknuti  sljedeće investicije:</w:t>
      </w:r>
    </w:p>
    <w:p w14:paraId="7F8E76EA" w14:textId="77777777" w:rsidR="000B6D3B" w:rsidRPr="00D94225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D94225">
        <w:rPr>
          <w:rFonts w:ascii="Calibri" w:eastAsia="Calibri" w:hAnsi="Calibri" w:cs="Calibri"/>
          <w:iCs/>
        </w:rPr>
        <w:t>- EU projekt „Projekt prikupljanja, pročišćavanja i odvodnje otpadnih voda na području otoka Krka“,</w:t>
      </w:r>
    </w:p>
    <w:p w14:paraId="1774EDF0" w14:textId="77777777" w:rsidR="000B6D3B" w:rsidRPr="006B2308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6B2308">
        <w:rPr>
          <w:rFonts w:ascii="Calibri" w:eastAsia="Calibri" w:hAnsi="Calibri" w:cs="Calibri"/>
          <w:iCs/>
        </w:rPr>
        <w:t>- projektna dokumentacija “Vodoopskrbni sustav Krka-podsustav Ponikve II faza“,</w:t>
      </w:r>
    </w:p>
    <w:p w14:paraId="7BD8DEA2" w14:textId="1A9E837F" w:rsidR="000B6D3B" w:rsidRPr="006B2308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6B2308">
        <w:rPr>
          <w:rFonts w:ascii="Calibri" w:eastAsia="Calibri" w:hAnsi="Calibri" w:cs="Calibri"/>
          <w:iCs/>
        </w:rPr>
        <w:t xml:space="preserve">- </w:t>
      </w:r>
      <w:r w:rsidR="006B2308" w:rsidRPr="006B2308">
        <w:rPr>
          <w:rFonts w:ascii="Calibri" w:eastAsia="Calibri" w:hAnsi="Calibri" w:cs="Calibri"/>
          <w:iCs/>
        </w:rPr>
        <w:t>izgradnja i rekonstrukcija vodovodne mreže i mreže otpadnih voda</w:t>
      </w:r>
      <w:r w:rsidRPr="006B2308">
        <w:rPr>
          <w:rFonts w:ascii="Calibri" w:eastAsia="Calibri" w:hAnsi="Calibri" w:cs="Calibri"/>
          <w:iCs/>
        </w:rPr>
        <w:t>.</w:t>
      </w:r>
    </w:p>
    <w:p w14:paraId="49E1F3DF" w14:textId="77777777" w:rsidR="000B6D3B" w:rsidRPr="006B2308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7C559823" w14:textId="77777777" w:rsidR="000B6D3B" w:rsidRPr="006B2308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7ABA66A8" w14:textId="77777777" w:rsidR="000B6D3B" w:rsidRPr="006B2308" w:rsidRDefault="000B6D3B" w:rsidP="000B6D3B">
      <w:pPr>
        <w:numPr>
          <w:ilvl w:val="1"/>
          <w:numId w:val="3"/>
        </w:num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 xml:space="preserve"> EU projekt „Projekt prikupljanja, pročišćavanja i odvodnje otpadnih voda na području otoka Krka“</w:t>
      </w:r>
    </w:p>
    <w:p w14:paraId="5C012341" w14:textId="77777777" w:rsidR="000B6D3B" w:rsidRPr="006B2308" w:rsidRDefault="000B6D3B" w:rsidP="000B6D3B">
      <w:p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iCs/>
        </w:rPr>
      </w:pPr>
    </w:p>
    <w:p w14:paraId="32B267EE" w14:textId="77777777" w:rsidR="000B6D3B" w:rsidRPr="006B2308" w:rsidRDefault="000B6D3B" w:rsidP="000B6D3B">
      <w:p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</w:rPr>
      </w:pPr>
      <w:r w:rsidRPr="006B2308">
        <w:rPr>
          <w:rFonts w:ascii="Calibri" w:eastAsia="Times New Roman" w:hAnsi="Calibri" w:cs="Calibri"/>
          <w:iCs/>
        </w:rPr>
        <w:t xml:space="preserve">U 2020. godini nastavlja se provedba EU projekta „Projekt prikupljanja, pročišćavanja i odvodnje otpadnih voda na području otoka Krka“ </w:t>
      </w:r>
      <w:r w:rsidRPr="006B2308">
        <w:rPr>
          <w:rFonts w:ascii="Calibri" w:eastAsia="Times New Roman" w:hAnsi="Calibri" w:cs="Calibri"/>
        </w:rPr>
        <w:t xml:space="preserve">koji je započeo u 2017. godini, a odobren Odlukom Ministarstva zaštite okoliša i energetike 11. svibnja 2017. godine i njenom dopunom od 06. lipnja 2017. godine. </w:t>
      </w:r>
    </w:p>
    <w:p w14:paraId="0149DDD9" w14:textId="77777777" w:rsidR="000B6D3B" w:rsidRPr="006B2308" w:rsidRDefault="000B6D3B" w:rsidP="000B6D3B">
      <w:p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bCs/>
          <w:iCs/>
        </w:rPr>
      </w:pPr>
      <w:r w:rsidRPr="006B2308">
        <w:rPr>
          <w:rFonts w:ascii="Calibri" w:eastAsia="Times New Roman" w:hAnsi="Calibri" w:cs="Calibri"/>
        </w:rPr>
        <w:t>26. srpnja 2017. godine potpisani su ugovori:</w:t>
      </w:r>
    </w:p>
    <w:p w14:paraId="09D06CC8" w14:textId="77777777" w:rsidR="000B6D3B" w:rsidRPr="006B2308" w:rsidRDefault="000B6D3B" w:rsidP="000B6D3B">
      <w:pPr>
        <w:spacing w:after="0" w:line="240" w:lineRule="auto"/>
        <w:ind w:right="92"/>
        <w:jc w:val="both"/>
        <w:rPr>
          <w:rFonts w:ascii="Calibri" w:eastAsia="Times New Roman" w:hAnsi="Calibri" w:cs="Calibri"/>
        </w:rPr>
      </w:pPr>
      <w:r w:rsidRPr="006B2308">
        <w:rPr>
          <w:rFonts w:ascii="Calibri" w:eastAsia="Times New Roman" w:hAnsi="Calibri" w:cs="Calibri"/>
        </w:rPr>
        <w:t xml:space="preserve">- </w:t>
      </w:r>
      <w:r w:rsidRPr="006B2308">
        <w:rPr>
          <w:rFonts w:ascii="Calibri" w:eastAsia="Times New Roman" w:hAnsi="Calibri" w:cs="Calibri"/>
          <w:b/>
          <w:bCs/>
        </w:rPr>
        <w:t>Ugovor o dodjeli bespovratnih sredstava</w:t>
      </w:r>
      <w:r w:rsidRPr="006B2308">
        <w:rPr>
          <w:rFonts w:ascii="Calibri" w:eastAsia="Times New Roman" w:hAnsi="Calibri" w:cs="Calibri"/>
        </w:rPr>
        <w:t xml:space="preserve"> EU projekta s Ministarstvom zaštite okoliša i energetike kao posredničkog tijela 1 i Hrvatskim vodama kao posredničkog tijela 2</w:t>
      </w:r>
    </w:p>
    <w:p w14:paraId="1BE9E8CF" w14:textId="77777777" w:rsidR="000B6D3B" w:rsidRPr="006B2308" w:rsidRDefault="000B6D3B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B2308">
        <w:rPr>
          <w:rFonts w:ascii="Calibri" w:eastAsia="Times New Roman" w:hAnsi="Calibri" w:cs="Calibri"/>
        </w:rPr>
        <w:t xml:space="preserve">- </w:t>
      </w:r>
      <w:r w:rsidRPr="006B2308">
        <w:rPr>
          <w:rFonts w:ascii="Calibri" w:eastAsia="Times New Roman" w:hAnsi="Calibri" w:cs="Calibri"/>
          <w:b/>
          <w:bCs/>
        </w:rPr>
        <w:t>Ugovor o sufinanciranju</w:t>
      </w:r>
      <w:r w:rsidRPr="006B2308">
        <w:rPr>
          <w:rFonts w:ascii="Calibri" w:eastAsia="Times New Roman" w:hAnsi="Calibri" w:cs="Calibri"/>
        </w:rPr>
        <w:t xml:space="preserve"> EU projekta s Ministarstvom zaštite okoliša i energetike kao posredničkog tijela 1, Hrvatskim vodama kao posredničkog tijela 2, te 6 jedinica lokalne samouprave (sve jedinice otoka Krka osim Vrbnika koji ne sudjeluje u EU projektu) i Ponikve vodom</w:t>
      </w:r>
    </w:p>
    <w:p w14:paraId="77951C5C" w14:textId="77777777" w:rsidR="000B6D3B" w:rsidRPr="006B2308" w:rsidRDefault="000B6D3B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B2308">
        <w:rPr>
          <w:rFonts w:ascii="Calibri" w:eastAsia="Times New Roman" w:hAnsi="Calibri" w:cs="Calibri"/>
        </w:rPr>
        <w:t xml:space="preserve">- </w:t>
      </w:r>
      <w:r w:rsidRPr="006B2308">
        <w:rPr>
          <w:rFonts w:ascii="Calibri" w:eastAsia="Times New Roman" w:hAnsi="Calibri" w:cs="Calibri"/>
          <w:b/>
          <w:bCs/>
        </w:rPr>
        <w:t>Ugovor o partnerstvu</w:t>
      </w:r>
      <w:r w:rsidRPr="006B2308">
        <w:rPr>
          <w:rFonts w:ascii="Calibri" w:eastAsia="Times New Roman" w:hAnsi="Calibri" w:cs="Calibri"/>
        </w:rPr>
        <w:t xml:space="preserve"> na EU projektu s jedinicama lokalne samouprave u kojem je navedena i obveza vraćanja kredita koji je Ponikve voda potpisala s Hrvatskom bankom za obnovu i razvoj (maksimalno 45 </w:t>
      </w:r>
      <w:proofErr w:type="spellStart"/>
      <w:r w:rsidRPr="006B2308">
        <w:rPr>
          <w:rFonts w:ascii="Calibri" w:eastAsia="Times New Roman" w:hAnsi="Calibri" w:cs="Calibri"/>
        </w:rPr>
        <w:t>mil</w:t>
      </w:r>
      <w:proofErr w:type="spellEnd"/>
      <w:r w:rsidRPr="006B2308">
        <w:rPr>
          <w:rFonts w:ascii="Calibri" w:eastAsia="Times New Roman" w:hAnsi="Calibri" w:cs="Calibri"/>
        </w:rPr>
        <w:t xml:space="preserve"> kn, fiksna godišnja kamatna stopa od 2,5%, rok otplate 10 godina), a kojeg će u cijelosti vraćati jedinice lokalne samouprave s obzirom da se radi o sredstvima koja će pokrivati dio lokalne komponente jedinica lokalne samouprave.</w:t>
      </w:r>
    </w:p>
    <w:p w14:paraId="2E6DDEBC" w14:textId="77777777" w:rsidR="000B6D3B" w:rsidRPr="006B2308" w:rsidRDefault="000B6D3B" w:rsidP="000B6D3B">
      <w:pPr>
        <w:spacing w:after="0" w:line="240" w:lineRule="auto"/>
        <w:ind w:left="360" w:right="92"/>
        <w:jc w:val="both"/>
        <w:rPr>
          <w:rFonts w:ascii="Calibri" w:eastAsia="Times New Roman" w:hAnsi="Calibri" w:cs="Calibri"/>
          <w:iCs/>
        </w:rPr>
      </w:pPr>
    </w:p>
    <w:p w14:paraId="590E24A0" w14:textId="4F360752" w:rsidR="006B2308" w:rsidRDefault="000B6D3B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B2308">
        <w:rPr>
          <w:rFonts w:ascii="Calibri" w:eastAsia="Times New Roman" w:hAnsi="Calibri" w:cs="Calibri"/>
        </w:rPr>
        <w:t xml:space="preserve">Ukupna vrijednost projekta procijenjena je na iznos od 648.312.359,00 kn. Prihvatljivi procijenjeni troškovi iznose </w:t>
      </w:r>
      <w:r w:rsidRPr="006B2308">
        <w:rPr>
          <w:rFonts w:ascii="Calibri" w:eastAsia="Times New Roman" w:hAnsi="Calibri" w:cs="Calibri"/>
          <w:b/>
        </w:rPr>
        <w:t>510.913.257,00 kn</w:t>
      </w:r>
      <w:r w:rsidRPr="006B2308">
        <w:rPr>
          <w:rFonts w:ascii="Calibri" w:eastAsia="Times New Roman" w:hAnsi="Calibri" w:cs="Calibri"/>
        </w:rPr>
        <w:t xml:space="preserve">, a neprihvatljivi trošak su ulaganja do 2014. godine i porez na dodanu vrijednost. </w:t>
      </w:r>
    </w:p>
    <w:p w14:paraId="66C3B751" w14:textId="7D5C9928" w:rsidR="006B2308" w:rsidRDefault="006B2308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46C8199" w14:textId="3A6AA840" w:rsidR="006B2308" w:rsidRPr="006B2308" w:rsidRDefault="0076343A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Od rujna 2017. godine do</w:t>
      </w:r>
      <w:r w:rsidR="006B2308">
        <w:rPr>
          <w:rFonts w:ascii="Calibri" w:eastAsia="Times New Roman" w:hAnsi="Calibri" w:cs="Calibri"/>
        </w:rPr>
        <w:t xml:space="preserve"> 31. prosinca 2021. </w:t>
      </w:r>
      <w:r>
        <w:rPr>
          <w:rFonts w:ascii="Calibri" w:eastAsia="Times New Roman" w:hAnsi="Calibri" w:cs="Calibri"/>
        </w:rPr>
        <w:t>situ</w:t>
      </w:r>
      <w:r w:rsidR="006B2308">
        <w:rPr>
          <w:rFonts w:ascii="Calibri" w:eastAsia="Times New Roman" w:hAnsi="Calibri" w:cs="Calibri"/>
        </w:rPr>
        <w:t>irano je</w:t>
      </w:r>
      <w:r>
        <w:rPr>
          <w:rFonts w:ascii="Calibri" w:eastAsia="Times New Roman" w:hAnsi="Calibri" w:cs="Calibri"/>
        </w:rPr>
        <w:t xml:space="preserve"> 283.626.835,52 kn radova/usluga</w:t>
      </w:r>
      <w:r w:rsidR="00413176">
        <w:rPr>
          <w:rFonts w:ascii="Calibri" w:eastAsia="Times New Roman" w:hAnsi="Calibri" w:cs="Calibri"/>
        </w:rPr>
        <w:t>, a stanje danog predujma na dan 31. prosinca 2021. iznosi 18.510.355,66 kn.</w:t>
      </w:r>
    </w:p>
    <w:p w14:paraId="2BC2F02A" w14:textId="77777777" w:rsidR="006B2308" w:rsidRDefault="006B2308" w:rsidP="000B6D3B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</w:p>
    <w:tbl>
      <w:tblPr>
        <w:tblW w:w="9298" w:type="dxa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275"/>
        <w:gridCol w:w="1276"/>
        <w:gridCol w:w="1218"/>
      </w:tblGrid>
      <w:tr w:rsidR="00413176" w:rsidRPr="0076343A" w14:paraId="599C309F" w14:textId="77777777" w:rsidTr="00413176">
        <w:trPr>
          <w:trHeight w:val="221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13B29D" w14:textId="77777777" w:rsidR="00413176" w:rsidRPr="006B2308" w:rsidRDefault="00413176" w:rsidP="006B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B8179D" w14:textId="1A5674E5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situirano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6EAF11" w14:textId="1E523062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prihvaćeno (predujam uključen)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3EC82A" w14:textId="2BDD78A3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trenutno neprihvaćeno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45FCF" w14:textId="68F15EBC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trajno neprihvaćeno</w:t>
            </w:r>
          </w:p>
        </w:tc>
      </w:tr>
      <w:tr w:rsidR="00413176" w:rsidRPr="0076343A" w14:paraId="2DCAA0AA" w14:textId="090E4454" w:rsidTr="00413176">
        <w:trPr>
          <w:trHeight w:val="221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6BA30" w14:textId="77777777" w:rsidR="00413176" w:rsidRPr="006B2308" w:rsidRDefault="00413176" w:rsidP="006B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9C00" w14:textId="524E210B" w:rsidR="00413176" w:rsidRPr="006B2308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BC6F14" w14:textId="275DEB69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4984C" w14:textId="77777777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E580E" w14:textId="6A87CDDD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financijska korekcija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0050A" w14:textId="26EFCB87" w:rsidR="00413176" w:rsidRDefault="00413176" w:rsidP="006B2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ostalo</w:t>
            </w:r>
          </w:p>
        </w:tc>
      </w:tr>
      <w:tr w:rsidR="00413176" w:rsidRPr="0076343A" w14:paraId="522B0F2D" w14:textId="15ADFECB" w:rsidTr="00413176">
        <w:trPr>
          <w:trHeight w:val="221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FDA5" w14:textId="77777777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projektom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93FD" w14:textId="6D7FC711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3.674.191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A085" w14:textId="10D9A342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217.328.899,99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2DC37" w14:textId="3BB70F84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261.149,43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CF252" w14:textId="78DB01D5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24.147.655,59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6106" w14:textId="04E24224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44.715,85</w:t>
            </w:r>
          </w:p>
        </w:tc>
      </w:tr>
      <w:tr w:rsidR="00413176" w:rsidRPr="0076343A" w14:paraId="0CB1FC29" w14:textId="5BDB149F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0903" w14:textId="77777777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vidljivost projekta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5B2F" w14:textId="59E37D79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140.80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8723" w14:textId="0858E622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23.128.875,20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18B6F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D16FC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F1BF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13176" w:rsidRPr="0076343A" w14:paraId="12DE8B17" w14:textId="31F1325C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5B75" w14:textId="77777777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stručni nadzor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5C59" w14:textId="5A554BE0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4.179.968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5F25" w14:textId="558160F2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3.924.516,40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CFE46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4275F" w14:textId="771018FF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206.553,50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C493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13176" w:rsidRPr="0076343A" w14:paraId="7A21359A" w14:textId="7CF2E403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B324" w14:textId="1B779EA5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linijske građevine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(odvodnja i vodovod)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ACF7" w14:textId="247EFD10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253.178.06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DC1C4" w14:textId="5F70FF66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14.247.115,00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8B25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E9488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322A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13176" w:rsidRPr="0076343A" w14:paraId="2EE071D5" w14:textId="73EB3E76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3700" w14:textId="50F28B75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uređaji za pročišćavanje otpadnih voda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8DF9" w14:textId="443CFC18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4.764.375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044C" w14:textId="0D02E3F2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131.028,90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B4897" w14:textId="3F9BD823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9.777,60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6C4A8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82077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13176" w:rsidRPr="0076343A" w14:paraId="55EBB31D" w14:textId="729248C6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523D" w14:textId="77777777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oprema + GIS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F22E" w14:textId="2E7756CB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14.247.115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50689" w14:textId="42EF6001" w:rsidR="00413176" w:rsidRPr="0076343A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3.674.191,19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988B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AD99B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EC212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413176" w:rsidRPr="0076343A" w14:paraId="3BAD636A" w14:textId="78682D56" w:rsidTr="00413176">
        <w:trPr>
          <w:trHeight w:val="22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879DA" w14:textId="5550EF3A" w:rsidR="00413176" w:rsidRPr="006B2308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3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ostalo (</w:t>
            </w:r>
            <w:proofErr w:type="spellStart"/>
            <w:r w:rsidRPr="00763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763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-pravni troškovi</w:t>
            </w:r>
            <w:r w:rsidR="006173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sl.</w:t>
            </w:r>
            <w:r w:rsidRPr="007634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9DCED" w14:textId="38D43E8B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2308">
              <w:rPr>
                <w:rFonts w:eastAsia="Times New Roman" w:cs="Times New Roman"/>
                <w:sz w:val="18"/>
                <w:szCs w:val="18"/>
                <w:lang w:eastAsia="hr-HR"/>
              </w:rPr>
              <w:t>3.442.31</w:t>
            </w: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9CA12" w14:textId="7442DCD4" w:rsidR="00413176" w:rsidRPr="0076343A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76343A">
              <w:rPr>
                <w:rFonts w:ascii="Calibri" w:hAnsi="Calibri" w:cs="Calibri"/>
                <w:color w:val="000000"/>
                <w:sz w:val="18"/>
                <w:szCs w:val="18"/>
              </w:rPr>
              <w:t>2.427.871,95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37696" w14:textId="58BF86F6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FAB03" w14:textId="46A979D0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045BC" w14:textId="6EB2F05C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color w:val="000000"/>
                <w:sz w:val="18"/>
                <w:szCs w:val="18"/>
              </w:rPr>
              <w:t>1.014.439,00</w:t>
            </w:r>
          </w:p>
        </w:tc>
      </w:tr>
      <w:tr w:rsidR="00413176" w:rsidRPr="006B2308" w14:paraId="6D145511" w14:textId="52A02320" w:rsidTr="00413176">
        <w:trPr>
          <w:trHeight w:val="3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A1E4" w14:textId="77777777" w:rsidR="00413176" w:rsidRPr="006B2308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23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8475" w14:textId="2CC45DDD" w:rsidR="00413176" w:rsidRPr="006B2308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B2308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283.626.83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5,52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4F024" w14:textId="441EA262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264.862.498,63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E3817" w14:textId="61BBE46B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270.927,03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3D335" w14:textId="0036C566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24.354.209,09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56B1" w14:textId="503F9C71" w:rsidR="00413176" w:rsidRPr="00413176" w:rsidRDefault="00413176" w:rsidP="0041317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13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1.059.154,85</w:t>
            </w:r>
          </w:p>
        </w:tc>
      </w:tr>
    </w:tbl>
    <w:p w14:paraId="10B0DAE2" w14:textId="77777777" w:rsidR="0076343A" w:rsidRDefault="0076343A" w:rsidP="0076343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806A458" w14:textId="544FCE09" w:rsidR="000B6D3B" w:rsidRPr="00413176" w:rsidRDefault="000B6D3B" w:rsidP="000B6D3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13176">
        <w:rPr>
          <w:rFonts w:ascii="Calibri" w:eastAsia="Times New Roman" w:hAnsi="Calibri" w:cs="Calibri"/>
        </w:rPr>
        <w:lastRenderedPageBreak/>
        <w:t>Udjeli u sufinanciranju prihvaćenih planiranih troškova su:</w:t>
      </w:r>
    </w:p>
    <w:tbl>
      <w:tblPr>
        <w:tblW w:w="7372" w:type="dxa"/>
        <w:tblLook w:val="04A0" w:firstRow="1" w:lastRow="0" w:firstColumn="1" w:lastColumn="0" w:noHBand="0" w:noVBand="1"/>
      </w:tblPr>
      <w:tblGrid>
        <w:gridCol w:w="4284"/>
        <w:gridCol w:w="1099"/>
        <w:gridCol w:w="1752"/>
        <w:gridCol w:w="237"/>
      </w:tblGrid>
      <w:tr w:rsidR="00413176" w:rsidRPr="00413176" w14:paraId="050F38ED" w14:textId="77777777" w:rsidTr="00617337">
        <w:trPr>
          <w:gridAfter w:val="1"/>
          <w:wAfter w:w="237" w:type="dxa"/>
          <w:trHeight w:val="450"/>
        </w:trPr>
        <w:tc>
          <w:tcPr>
            <w:tcW w:w="4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A036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D1161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0A74F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ukupno sufinancirano</w:t>
            </w:r>
          </w:p>
        </w:tc>
      </w:tr>
      <w:tr w:rsidR="00413176" w:rsidRPr="00413176" w14:paraId="6D0C4CFC" w14:textId="77777777" w:rsidTr="00617337">
        <w:trPr>
          <w:trHeight w:val="53"/>
        </w:trPr>
        <w:tc>
          <w:tcPr>
            <w:tcW w:w="4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78A8E" w14:textId="77777777" w:rsidR="00413176" w:rsidRPr="00413176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B34BE" w14:textId="77777777" w:rsidR="00413176" w:rsidRPr="00413176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3179E" w14:textId="77777777" w:rsidR="00413176" w:rsidRPr="00413176" w:rsidRDefault="00413176" w:rsidP="0041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E3E3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413176" w:rsidRPr="00413176" w14:paraId="486583CE" w14:textId="77777777" w:rsidTr="00617337">
        <w:trPr>
          <w:trHeight w:val="251"/>
        </w:trPr>
        <w:tc>
          <w:tcPr>
            <w:tcW w:w="4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515E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EU sredstva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3353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72,25075%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EF7D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191.365.141,75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015D4F" w14:textId="77777777" w:rsidR="00413176" w:rsidRPr="00413176" w:rsidRDefault="00413176" w:rsidP="0041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3176" w:rsidRPr="00413176" w14:paraId="29A453AC" w14:textId="77777777" w:rsidTr="00413176">
        <w:trPr>
          <w:trHeight w:val="251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4315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Ministarstvo zaštite okoliša i energetike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873E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5739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24.499.118,94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16C0FBC" w14:textId="77777777" w:rsidR="00413176" w:rsidRPr="00413176" w:rsidRDefault="00413176" w:rsidP="0041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3176" w:rsidRPr="00413176" w14:paraId="3EE73850" w14:textId="77777777" w:rsidTr="00413176">
        <w:trPr>
          <w:trHeight w:val="251"/>
        </w:trPr>
        <w:tc>
          <w:tcPr>
            <w:tcW w:w="4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2AC60E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Hrvatske vode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FCBA87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880D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24.499.118,94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774C22FD" w14:textId="77777777" w:rsidR="00413176" w:rsidRPr="00413176" w:rsidRDefault="00413176" w:rsidP="0041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3176" w:rsidRPr="00413176" w14:paraId="10979D47" w14:textId="77777777" w:rsidTr="00413176">
        <w:trPr>
          <w:trHeight w:val="251"/>
        </w:trPr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8229D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lokalna komponenta (Ponikve + partneri)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BACE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9,24975%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F152D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24.499.119,00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C3CDB" w14:textId="77777777" w:rsidR="00413176" w:rsidRPr="00413176" w:rsidRDefault="00413176" w:rsidP="0041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3176" w:rsidRPr="00413176" w14:paraId="0276DDB3" w14:textId="77777777" w:rsidTr="00413176">
        <w:trPr>
          <w:trHeight w:val="251"/>
        </w:trPr>
        <w:tc>
          <w:tcPr>
            <w:tcW w:w="4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6477" w14:textId="77777777" w:rsidR="00413176" w:rsidRPr="00413176" w:rsidRDefault="00413176" w:rsidP="0041317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0180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3DEE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31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264.862.498,63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52904F" w14:textId="77777777" w:rsidR="00413176" w:rsidRPr="00413176" w:rsidRDefault="00413176" w:rsidP="0041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14A01028" w14:textId="5B987CB0" w:rsidR="00413176" w:rsidRPr="00413176" w:rsidRDefault="00413176" w:rsidP="000B6D3B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highlight w:val="yellow"/>
        </w:rPr>
      </w:pPr>
    </w:p>
    <w:p w14:paraId="36DB0CEC" w14:textId="77777777" w:rsidR="00617337" w:rsidRDefault="00617337" w:rsidP="00413176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</w:p>
    <w:p w14:paraId="6517C8E7" w14:textId="3F017B11" w:rsidR="00413176" w:rsidRPr="00413176" w:rsidRDefault="00413176" w:rsidP="00413176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  <w:r w:rsidRPr="00413176">
        <w:rPr>
          <w:rFonts w:eastAsia="Times New Roman" w:cstheme="minorHAnsi"/>
          <w:lang w:val="pl-PL" w:eastAsia="hr-HR"/>
        </w:rPr>
        <w:t>Trajno nepriznati troškovi se, prema postojećim odlukama skupštine Ponikve voda, sufinanciraju:</w:t>
      </w:r>
    </w:p>
    <w:p w14:paraId="5C8334BC" w14:textId="77777777" w:rsidR="00413176" w:rsidRPr="00413176" w:rsidRDefault="00413176" w:rsidP="00413176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val="pl-PL" w:eastAsia="hr-HR"/>
        </w:rPr>
      </w:pPr>
    </w:p>
    <w:p w14:paraId="308B02F0" w14:textId="77777777" w:rsidR="00413176" w:rsidRPr="00413176" w:rsidRDefault="00413176" w:rsidP="00413176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  <w:r w:rsidRPr="00413176">
        <w:rPr>
          <w:rFonts w:eastAsia="Times New Roman" w:cstheme="minorHAnsi"/>
          <w:lang w:val="pl-PL" w:eastAsia="hr-HR"/>
        </w:rPr>
        <w:t xml:space="preserve">- trošak nepriznatih imovinsko-pravnih odnosa - Ponikve voda 100%, </w:t>
      </w:r>
    </w:p>
    <w:p w14:paraId="5FFC8794" w14:textId="77777777" w:rsidR="00413176" w:rsidRPr="00413176" w:rsidRDefault="00413176" w:rsidP="00413176">
      <w:pPr>
        <w:spacing w:after="0" w:line="240" w:lineRule="auto"/>
        <w:jc w:val="both"/>
        <w:rPr>
          <w:rFonts w:eastAsia="Times New Roman" w:cstheme="minorHAnsi"/>
          <w:lang w:val="pl-PL" w:eastAsia="hr-HR"/>
        </w:rPr>
      </w:pPr>
      <w:r w:rsidRPr="00413176">
        <w:rPr>
          <w:rFonts w:eastAsia="Times New Roman" w:cstheme="minorHAnsi"/>
          <w:lang w:val="pl-PL" w:eastAsia="hr-HR"/>
        </w:rPr>
        <w:t xml:space="preserve">- troškovi financijskih korekcija (odluke od 23. studenog 2018., 21. veljače 2019. godine i 29. studenog 2021.) iz dugoročnih kredita (HBOR i PBZ), a udjeli u otplati kredita su: </w:t>
      </w:r>
    </w:p>
    <w:p w14:paraId="75EA2329" w14:textId="77777777" w:rsidR="00413176" w:rsidRPr="00413176" w:rsidRDefault="00413176" w:rsidP="0041317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val="pl-PL" w:eastAsia="hr-HR"/>
        </w:rPr>
      </w:pPr>
    </w:p>
    <w:tbl>
      <w:tblPr>
        <w:tblW w:w="6980" w:type="dxa"/>
        <w:tblInd w:w="108" w:type="dxa"/>
        <w:tblLook w:val="04A0" w:firstRow="1" w:lastRow="0" w:firstColumn="1" w:lastColumn="0" w:noHBand="0" w:noVBand="1"/>
      </w:tblPr>
      <w:tblGrid>
        <w:gridCol w:w="284"/>
        <w:gridCol w:w="5420"/>
        <w:gridCol w:w="1276"/>
      </w:tblGrid>
      <w:tr w:rsidR="00413176" w:rsidRPr="00413176" w14:paraId="74EDCD4E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79660" w14:textId="0B287C25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D967" w14:textId="76392118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Ponikve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voda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vlas</w:t>
            </w:r>
            <w:r>
              <w:rPr>
                <w:rFonts w:ascii="Calibri" w:hAnsi="Calibri" w:cs="Calibri"/>
                <w:lang w:val="en-US"/>
              </w:rPr>
              <w:t>t</w:t>
            </w:r>
            <w:r w:rsidRPr="00413176">
              <w:rPr>
                <w:rFonts w:ascii="Calibri" w:hAnsi="Calibri" w:cs="Calibri"/>
                <w:lang w:val="en-US"/>
              </w:rPr>
              <w:t>ita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sredstva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017C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10,27000%</w:t>
            </w:r>
          </w:p>
        </w:tc>
      </w:tr>
      <w:tr w:rsidR="00413176" w:rsidRPr="00413176" w14:paraId="54E162C2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65DA63" w14:textId="2B2F5017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32AE" w14:textId="06108FB6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 xml:space="preserve">Grad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Krk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1519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20,38666%</w:t>
            </w:r>
          </w:p>
        </w:tc>
      </w:tr>
      <w:tr w:rsidR="00413176" w:rsidRPr="00413176" w14:paraId="46CE7BB8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904CA" w14:textId="5120421E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7DEC" w14:textId="1277D452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Općina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Baška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B195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11,54825%</w:t>
            </w:r>
          </w:p>
        </w:tc>
      </w:tr>
      <w:tr w:rsidR="00413176" w:rsidRPr="00413176" w14:paraId="23AA848C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0F3020" w14:textId="5D9568D7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0C78" w14:textId="4CD9794C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Općina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Dobrinj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480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15,76556%</w:t>
            </w:r>
          </w:p>
        </w:tc>
      </w:tr>
      <w:tr w:rsidR="00413176" w:rsidRPr="00413176" w14:paraId="2EDA5C37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0483D8E" w14:textId="47E3E82E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C4BA" w14:textId="37B61B76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Općina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Malinska-Dubašnica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38D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17,14740%</w:t>
            </w:r>
          </w:p>
        </w:tc>
      </w:tr>
      <w:tr w:rsidR="00413176" w:rsidRPr="00413176" w14:paraId="76465CAD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EAF24" w14:textId="0D4F1204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645A" w14:textId="4E6E598F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Općina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Omišalj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9747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15,98091%</w:t>
            </w:r>
          </w:p>
        </w:tc>
      </w:tr>
      <w:tr w:rsidR="00413176" w:rsidRPr="00413176" w14:paraId="726A71B6" w14:textId="77777777" w:rsidTr="00413176">
        <w:trPr>
          <w:trHeight w:val="149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68820C4" w14:textId="2D72ED1C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498B" w14:textId="03420360" w:rsidR="00413176" w:rsidRPr="00413176" w:rsidRDefault="00413176" w:rsidP="00413176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413176">
              <w:rPr>
                <w:rFonts w:ascii="Calibri" w:hAnsi="Calibri" w:cs="Calibri"/>
                <w:lang w:val="en-US"/>
              </w:rPr>
              <w:t>Općina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Punat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naknada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razvoj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413176">
              <w:rPr>
                <w:rFonts w:ascii="Calibri" w:hAnsi="Calibri" w:cs="Calibri"/>
                <w:lang w:val="en-US"/>
              </w:rPr>
              <w:t>proračun</w:t>
            </w:r>
            <w:proofErr w:type="spellEnd"/>
            <w:r w:rsidRPr="004131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142B" w14:textId="77777777" w:rsidR="00413176" w:rsidRPr="00413176" w:rsidRDefault="00413176" w:rsidP="0041317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13176">
              <w:rPr>
                <w:rFonts w:ascii="Calibri" w:hAnsi="Calibri" w:cs="Calibri"/>
                <w:lang w:val="en-US"/>
              </w:rPr>
              <w:t>8,90122%</w:t>
            </w:r>
          </w:p>
        </w:tc>
      </w:tr>
    </w:tbl>
    <w:p w14:paraId="61A74493" w14:textId="0C8B9A18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62A354D2" w14:textId="77777777" w:rsidR="00617337" w:rsidRDefault="00617337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68FE95C4" w14:textId="77777777" w:rsidR="000B6D3B" w:rsidRDefault="000B6D3B" w:rsidP="000B6D3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iCs/>
        </w:rPr>
      </w:pPr>
      <w:r>
        <w:rPr>
          <w:rFonts w:ascii="Calibri" w:eastAsia="Times New Roman" w:hAnsi="Calibri" w:cs="Calibri"/>
          <w:b/>
          <w:iCs/>
        </w:rPr>
        <w:t xml:space="preserve"> projektne dokumentacije “Vodoopskrbni sustav Krka-podsustav Ponikve II faza</w:t>
      </w:r>
    </w:p>
    <w:p w14:paraId="09C45C4B" w14:textId="77777777" w:rsidR="000B6D3B" w:rsidRDefault="000B6D3B" w:rsidP="000B6D3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Calibri"/>
          <w:iCs/>
          <w:sz w:val="24"/>
          <w:szCs w:val="24"/>
        </w:rPr>
      </w:pPr>
    </w:p>
    <w:p w14:paraId="48EEC73B" w14:textId="52BEF01A" w:rsidR="000B6D3B" w:rsidRDefault="000B6D3B" w:rsidP="006B2308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Calibri" w:eastAsia="Calibri" w:hAnsi="Calibri" w:cs="Calibri"/>
          <w:iCs/>
        </w:rPr>
      </w:pPr>
      <w:bookmarkStart w:id="5" w:name="_Hlk39491307"/>
      <w:r>
        <w:rPr>
          <w:rFonts w:ascii="Calibri" w:eastAsia="Calibri" w:hAnsi="Calibri" w:cs="Calibri"/>
          <w:iCs/>
        </w:rPr>
        <w:t xml:space="preserve">Kroz izvještajno razdoblje nastavljeni su radovi na </w:t>
      </w:r>
      <w:r>
        <w:rPr>
          <w:rFonts w:ascii="Calibri" w:eastAsia="Calibri" w:hAnsi="Calibri" w:cs="Calibri"/>
          <w:bCs/>
          <w:iCs/>
        </w:rPr>
        <w:t>izradi projektne dokumentacije “Vodoopskrbni sustav Krka-podsustav Ponikve II faza; izrada gl</w:t>
      </w:r>
      <w:r>
        <w:rPr>
          <w:rFonts w:ascii="Calibri" w:eastAsia="Calibri" w:hAnsi="Calibri" w:cs="Calibri"/>
          <w:iCs/>
        </w:rPr>
        <w:t xml:space="preserve">avnog projekta s provođenjem istraživačkih radova za faze 2, 3 i 4”. Podsustav Ponikve II faza podrazumijeva </w:t>
      </w:r>
      <w:proofErr w:type="spellStart"/>
      <w:r>
        <w:rPr>
          <w:rFonts w:ascii="Calibri" w:eastAsia="Calibri" w:hAnsi="Calibri" w:cs="Calibri"/>
          <w:iCs/>
        </w:rPr>
        <w:t>nadvišenje</w:t>
      </w:r>
      <w:proofErr w:type="spellEnd"/>
      <w:r>
        <w:rPr>
          <w:rFonts w:ascii="Calibri" w:eastAsia="Calibri" w:hAnsi="Calibri" w:cs="Calibri"/>
          <w:iCs/>
        </w:rPr>
        <w:t xml:space="preserve"> postojeće brane čime će se volumen akumulacije povećati na 7.000.000 m</w:t>
      </w:r>
      <w:r w:rsidRPr="006B2308">
        <w:rPr>
          <w:rFonts w:ascii="Calibri" w:eastAsia="Calibri" w:hAnsi="Calibri" w:cs="Calibri"/>
          <w:iCs/>
          <w:vertAlign w:val="superscript"/>
        </w:rPr>
        <w:t>3</w:t>
      </w:r>
      <w:r>
        <w:rPr>
          <w:rFonts w:ascii="Calibri" w:eastAsia="Calibri" w:hAnsi="Calibri" w:cs="Calibri"/>
          <w:iCs/>
        </w:rPr>
        <w:t>. Na taj će se način osigurati znatno veće količine vode i bitnije će se utjecati na kvalitetu vode.</w:t>
      </w:r>
      <w:r>
        <w:rPr>
          <w:rFonts w:ascii="Calibri" w:eastAsia="Calibri" w:hAnsi="Calibri" w:cs="Calibri"/>
        </w:rPr>
        <w:t xml:space="preserve"> </w:t>
      </w:r>
      <w:bookmarkEnd w:id="5"/>
      <w:r w:rsidR="006B2308" w:rsidRPr="006B2308">
        <w:rPr>
          <w:rFonts w:ascii="Calibri" w:eastAsia="Calibri" w:hAnsi="Calibri" w:cs="Calibri"/>
          <w:iCs/>
        </w:rPr>
        <w:t xml:space="preserve">Projekt s istraživačkim radovima ukupne vrijednosti od 5.079.150,00 kn izvodi </w:t>
      </w:r>
      <w:proofErr w:type="spellStart"/>
      <w:r w:rsidR="006B2308" w:rsidRPr="006B2308">
        <w:rPr>
          <w:rFonts w:ascii="Calibri" w:eastAsia="Calibri" w:hAnsi="Calibri" w:cs="Calibri"/>
          <w:iCs/>
        </w:rPr>
        <w:t>Hidroinženjering</w:t>
      </w:r>
      <w:proofErr w:type="spellEnd"/>
      <w:r w:rsidR="006B2308" w:rsidRPr="006B2308">
        <w:rPr>
          <w:rFonts w:ascii="Calibri" w:eastAsia="Calibri" w:hAnsi="Calibri" w:cs="Calibri"/>
          <w:iCs/>
        </w:rPr>
        <w:t xml:space="preserve"> d.o.o. iz Zagreba. Do kraja 2021. godine situirano je 4.906.550,00 kn. Hrvatske vode sudjeluju u sufinanciranju s 80%, a ostatak osigurava Ponikve voda iz vlastitih sredstava.</w:t>
      </w:r>
    </w:p>
    <w:p w14:paraId="0B5DFBE7" w14:textId="77777777" w:rsidR="000B6D3B" w:rsidRDefault="000B6D3B" w:rsidP="000B6D3B">
      <w:pPr>
        <w:numPr>
          <w:ilvl w:val="12"/>
          <w:numId w:val="0"/>
        </w:num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2F957BC0" w14:textId="77777777" w:rsidR="000B6D3B" w:rsidRDefault="000B6D3B" w:rsidP="000B6D3B">
      <w:pPr>
        <w:numPr>
          <w:ilvl w:val="1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iCs/>
        </w:rPr>
      </w:pPr>
      <w:r>
        <w:rPr>
          <w:rFonts w:ascii="Calibri" w:eastAsia="Times New Roman" w:hAnsi="Calibri" w:cs="Calibri"/>
          <w:b/>
          <w:bCs/>
          <w:iCs/>
        </w:rPr>
        <w:t xml:space="preserve"> izgradnja i rekonstrukcija vodovodne mreže i mreže otpadnih voda</w:t>
      </w:r>
    </w:p>
    <w:p w14:paraId="14B93C62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214E47F5" w14:textId="392425B4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U 202</w:t>
      </w:r>
      <w:r w:rsidR="006D1A54">
        <w:rPr>
          <w:rFonts w:ascii="Calibri" w:eastAsia="Calibri" w:hAnsi="Calibri" w:cs="Calibri"/>
          <w:iCs/>
        </w:rPr>
        <w:t>1</w:t>
      </w:r>
      <w:r>
        <w:rPr>
          <w:rFonts w:ascii="Calibri" w:eastAsia="Calibri" w:hAnsi="Calibri" w:cs="Calibri"/>
          <w:iCs/>
        </w:rPr>
        <w:t xml:space="preserve">. godini nastavilo se s radovima na rekonstrukciji i izgradnji </w:t>
      </w:r>
      <w:r w:rsidR="00CA4E56">
        <w:rPr>
          <w:rFonts w:ascii="Calibri" w:eastAsia="Calibri" w:hAnsi="Calibri" w:cs="Calibri"/>
          <w:iCs/>
        </w:rPr>
        <w:t xml:space="preserve">javne </w:t>
      </w:r>
      <w:r>
        <w:rPr>
          <w:rFonts w:ascii="Calibri" w:eastAsia="Calibri" w:hAnsi="Calibri" w:cs="Calibri"/>
          <w:iCs/>
        </w:rPr>
        <w:t>vodovodne mreže i mreže otpadnih fekalnih voda na otoku Krku.  Ugovori o izvođenju radova i obavljanju stručnog nadzora sklopljeni su s više izvođača.</w:t>
      </w:r>
    </w:p>
    <w:p w14:paraId="532B3900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Sredstva su osigurana iz naknade za razvoj, sredstava Hrvatskih voda (naknade za korištenje i zaštitu voda), sredstva proračuna jedinica lokalne samouprave i iz vlastitih sredstava.</w:t>
      </w:r>
    </w:p>
    <w:p w14:paraId="3C369B47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15EFCA50" w14:textId="77777777" w:rsidR="000B6D3B" w:rsidRDefault="000B6D3B" w:rsidP="000B6D3B">
      <w:pPr>
        <w:spacing w:after="0" w:line="240" w:lineRule="auto"/>
        <w:jc w:val="both"/>
        <w:rPr>
          <w:rFonts w:ascii="Calibri" w:eastAsia="Calibri" w:hAnsi="Calibri" w:cs="Calibri"/>
          <w:iCs/>
        </w:rPr>
      </w:pPr>
    </w:p>
    <w:p w14:paraId="2B311889" w14:textId="77777777" w:rsidR="000B6D3B" w:rsidRDefault="000B6D3B" w:rsidP="000B6D3B">
      <w:pPr>
        <w:numPr>
          <w:ilvl w:val="0"/>
          <w:numId w:val="6"/>
        </w:numPr>
        <w:spacing w:after="0" w:line="240" w:lineRule="auto"/>
        <w:ind w:right="22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UPRAVLJANJE RIZICIMA</w:t>
      </w:r>
    </w:p>
    <w:p w14:paraId="1586FF76" w14:textId="77777777" w:rsidR="000B6D3B" w:rsidRDefault="000B6D3B" w:rsidP="000B6D3B">
      <w:pPr>
        <w:spacing w:after="0" w:line="240" w:lineRule="auto"/>
        <w:ind w:right="-367"/>
        <w:jc w:val="both"/>
        <w:rPr>
          <w:rFonts w:ascii="Calibri" w:eastAsia="Calibri" w:hAnsi="Calibri" w:cs="Calibri"/>
          <w:bCs/>
        </w:rPr>
      </w:pPr>
    </w:p>
    <w:p w14:paraId="3C8E640F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>VALUTNI RIZIK</w:t>
      </w:r>
    </w:p>
    <w:p w14:paraId="3DA17070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75633C1F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>Valutni rizik je rizik da će se vrijednosti financijskih instrumenata promijeniti uslijed promjene tečaja. Društvo je izloženo promjenama vrijednosti EUR-a, jer je dio obveza po dugoročnim kreditima denominirano u stranoj valuti, što Društvo izlaže valutnom riziku. Upravljanje ovim rizikom svodi se na usklađivanje priljeva od naplate potraživanja od kupaca.</w:t>
      </w:r>
    </w:p>
    <w:p w14:paraId="7B065D61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3E3956A3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>KAMATNI RIZIK</w:t>
      </w:r>
    </w:p>
    <w:p w14:paraId="38BD838E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596CBE58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 xml:space="preserve">Kamatni rizik je rizik da će se vrijednosti financijskih instrumenata promijeniti uslijed promjene tržišnih kamatnih stopa u odnosu na kamatne stope primjenjive na financijske instrumente. Društvo ima dugoročne obveze po tri </w:t>
      </w:r>
      <w:proofErr w:type="spellStart"/>
      <w:r w:rsidRPr="006B2308">
        <w:rPr>
          <w:rFonts w:ascii="Calibri" w:eastAsia="Times New Roman" w:hAnsi="Calibri" w:cs="Calibri"/>
          <w:iCs/>
        </w:rPr>
        <w:t>podzajma</w:t>
      </w:r>
      <w:proofErr w:type="spellEnd"/>
      <w:r w:rsidRPr="006B2308">
        <w:rPr>
          <w:rFonts w:ascii="Calibri" w:eastAsia="Times New Roman" w:hAnsi="Calibri" w:cs="Calibri"/>
          <w:iCs/>
        </w:rPr>
        <w:t xml:space="preserve"> s promjenjivom kamatnom stopom te kao posljedicu toga izloženost riziku promjene kamatne stope. </w:t>
      </w:r>
    </w:p>
    <w:p w14:paraId="3BCF150E" w14:textId="13172BC4" w:rsid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 xml:space="preserve">Upravljanje ovim rizikom, u jednom dijelu svodi se na usklađenje priljeva sredstava iz naknade za razvoj za podmirenje obveza po kamatama budući se naknada za razvoj namjenski koristi za otplatu tih </w:t>
      </w:r>
      <w:proofErr w:type="spellStart"/>
      <w:r w:rsidRPr="006B2308">
        <w:rPr>
          <w:rFonts w:ascii="Calibri" w:eastAsia="Times New Roman" w:hAnsi="Calibri" w:cs="Calibri"/>
          <w:iCs/>
        </w:rPr>
        <w:t>podzajmova</w:t>
      </w:r>
      <w:proofErr w:type="spellEnd"/>
      <w:r w:rsidRPr="006B2308">
        <w:rPr>
          <w:rFonts w:ascii="Calibri" w:eastAsia="Times New Roman" w:hAnsi="Calibri" w:cs="Calibri"/>
          <w:iCs/>
        </w:rPr>
        <w:t>.</w:t>
      </w:r>
    </w:p>
    <w:p w14:paraId="7AF6C827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126780D2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>KREDITNI RIZIK</w:t>
      </w:r>
    </w:p>
    <w:p w14:paraId="27C5BDC0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680D30D6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 xml:space="preserve"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 </w:t>
      </w:r>
    </w:p>
    <w:p w14:paraId="5D176386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6551E717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>RIZIK LIKVIDNOSTI</w:t>
      </w:r>
    </w:p>
    <w:p w14:paraId="121B4E47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3C96A301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 xml:space="preserve">Rizik likvidnosti, koji se također naziva rizikom financiranja, je rizik suočavanja Društva s teškoćama u pribavljanju sredstava za podmirenje obveza po financijskim instrumentima.  Kratkoročne obveze Društva koje dospijevaju u 2021. godini pokrivene su kratkotrajnom imovinom, budući se dijelom podmiruju iz vlastitih sredstava, naknade za razvoj, a dijelom iz sredstava proračuna. </w:t>
      </w:r>
    </w:p>
    <w:p w14:paraId="79F83374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>Na smanjenje likvidnosti može utjecati pandemija COVID-19 čiji je negativan utjecaj u 2021. godini bio znatno manji nego 2020. godine, ali i rusko-ukrajinski rat koji može utjecati na slabiju turističku sezonu.</w:t>
      </w:r>
    </w:p>
    <w:p w14:paraId="41DADE07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04849A2C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  <w:r w:rsidRPr="006B2308">
        <w:rPr>
          <w:rFonts w:ascii="Calibri" w:eastAsia="Times New Roman" w:hAnsi="Calibri" w:cs="Calibri"/>
          <w:b/>
          <w:bCs/>
          <w:iCs/>
        </w:rPr>
        <w:t>PROCJENA FER VRIJEDNOSTI</w:t>
      </w:r>
    </w:p>
    <w:p w14:paraId="6E1B457A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27453BB4" w14:textId="77777777" w:rsidR="006B2308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2076A0D4" w14:textId="55E40478" w:rsidR="000B6D3B" w:rsidRP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iCs/>
        </w:rPr>
      </w:pPr>
      <w:r w:rsidRPr="006B2308">
        <w:rPr>
          <w:rFonts w:ascii="Calibri" w:eastAsia="Times New Roman" w:hAnsi="Calibri" w:cs="Calibri"/>
          <w:iCs/>
        </w:rPr>
        <w:t>Iskazana knjigovodstvena vrijednost novca i novčanih ekvivalenata približna je njihovoj fer vrijednosti zbog kratkoročnog dospijeća ovih financijskih instrumenata.</w:t>
      </w:r>
    </w:p>
    <w:p w14:paraId="278C6469" w14:textId="4FF4CA70" w:rsidR="006B2308" w:rsidRDefault="006B2308" w:rsidP="006B2308">
      <w:pPr>
        <w:spacing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</w:rPr>
      </w:pPr>
    </w:p>
    <w:p w14:paraId="04B85365" w14:textId="77777777" w:rsidR="000B6D3B" w:rsidRDefault="000B6D3B" w:rsidP="000B6D3B">
      <w:pPr>
        <w:spacing w:after="0" w:line="240" w:lineRule="auto"/>
        <w:ind w:right="91"/>
        <w:jc w:val="both"/>
        <w:rPr>
          <w:rFonts w:ascii="Calibri" w:eastAsia="Calibri" w:hAnsi="Calibri" w:cs="Calibri"/>
          <w:iCs/>
        </w:rPr>
      </w:pPr>
    </w:p>
    <w:p w14:paraId="2A49F2BD" w14:textId="77777777" w:rsidR="000B6D3B" w:rsidRDefault="000B6D3B" w:rsidP="000B6D3B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Calibri" w:eastAsia="Times New Roman" w:hAnsi="Calibri" w:cs="Calibri"/>
          <w:iCs/>
          <w:lang w:eastAsia="hr-HR"/>
        </w:rPr>
      </w:pPr>
    </w:p>
    <w:p w14:paraId="6E334B82" w14:textId="77777777" w:rsidR="000B6D3B" w:rsidRDefault="000B6D3B" w:rsidP="000B6D3B">
      <w:pPr>
        <w:numPr>
          <w:ilvl w:val="0"/>
          <w:numId w:val="6"/>
        </w:numPr>
        <w:spacing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</w:rPr>
        <w:t>DOGAĐAJI OD UTJECAJA NA BUDUĆE POSLOVANJE</w:t>
      </w:r>
    </w:p>
    <w:p w14:paraId="40E499E9" w14:textId="77777777" w:rsidR="000B6D3B" w:rsidRDefault="000B6D3B" w:rsidP="000B6D3B">
      <w:pPr>
        <w:spacing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1EA62FCA" w14:textId="77777777" w:rsidR="006B2308" w:rsidRPr="006B2308" w:rsidRDefault="006B2308" w:rsidP="006B2308">
      <w:pPr>
        <w:jc w:val="both"/>
        <w:rPr>
          <w:rFonts w:ascii="Calibri" w:eastAsia="Calibri" w:hAnsi="Calibri" w:cs="Calibri"/>
          <w:iCs/>
        </w:rPr>
      </w:pPr>
      <w:r w:rsidRPr="006B2308">
        <w:rPr>
          <w:rFonts w:ascii="Calibri" w:eastAsia="Calibri" w:hAnsi="Calibri" w:cs="Calibri"/>
          <w:iCs/>
        </w:rPr>
        <w:t xml:space="preserve">U ožujku 2020. godine proglašena je pandemija bolesti COVID-19 uzrokovana virusom SARS-CoV-2 (korona virus). Iako pandemija traje i u 2022. godini, uprava društva predviđa da ne bi trebala imati značajniji utjecaj na poslovanje Društva u 2022. godini. </w:t>
      </w:r>
    </w:p>
    <w:p w14:paraId="71C37E90" w14:textId="68840962" w:rsidR="000B6D3B" w:rsidRDefault="006B2308" w:rsidP="006B2308">
      <w:pPr>
        <w:jc w:val="both"/>
        <w:rPr>
          <w:rFonts w:cs="Times New Roman"/>
          <w:b/>
          <w:sz w:val="40"/>
          <w:szCs w:val="40"/>
        </w:rPr>
      </w:pPr>
      <w:r w:rsidRPr="006B2308">
        <w:rPr>
          <w:rFonts w:ascii="Calibri" w:eastAsia="Calibri" w:hAnsi="Calibri" w:cs="Calibri"/>
          <w:iCs/>
        </w:rPr>
        <w:t>Rusko-ukrajinski rat koji je započeo u veljači 2022. godine mogao bi utjecati na nedostatak fosilnih goriva, ali i na turističku sezonu 2022. godine. Smanjeni prihodi gospodarstvenika koji ovise o turizmu mogli bi utjecati na i likvidnost Društva te se poduzimaju aktivnosti oko prevladavanja navedenih rizika (kontrola rashoda te utroška vlastitih sredstava u financiranju ulaganja u nova osnovna sredstva radi zaštite likvidnosti Društva).</w:t>
      </w:r>
    </w:p>
    <w:p w14:paraId="73DB41A3" w14:textId="33DF905B" w:rsidR="000B6D3B" w:rsidRDefault="000B6D3B" w:rsidP="000B6D3B">
      <w:pPr>
        <w:spacing w:after="0" w:line="240" w:lineRule="auto"/>
        <w:ind w:right="92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>Krk, 31. svibnja 202</w:t>
      </w:r>
      <w:r w:rsidR="006D1A54">
        <w:rPr>
          <w:rFonts w:cstheme="minorHAnsi"/>
          <w:iCs/>
        </w:rPr>
        <w:t>2</w:t>
      </w:r>
      <w:r>
        <w:rPr>
          <w:rFonts w:cstheme="minorHAnsi"/>
          <w:iCs/>
        </w:rPr>
        <w:t>.</w:t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</w:p>
    <w:p w14:paraId="3D71F6A3" w14:textId="77777777" w:rsidR="000B6D3B" w:rsidRDefault="000B6D3B" w:rsidP="000B6D3B">
      <w:pPr>
        <w:ind w:right="92"/>
        <w:jc w:val="both"/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  <w:t>Uprava Društva:</w:t>
      </w:r>
    </w:p>
    <w:p w14:paraId="580F9EC2" w14:textId="77777777" w:rsidR="000B6D3B" w:rsidRDefault="000B6D3B" w:rsidP="000B6D3B">
      <w:pPr>
        <w:ind w:left="6372" w:right="92"/>
        <w:jc w:val="both"/>
        <w:rPr>
          <w:rFonts w:cstheme="minorHAnsi"/>
          <w:iCs/>
        </w:rPr>
      </w:pPr>
    </w:p>
    <w:p w14:paraId="45AF3BD5" w14:textId="50DFDD23" w:rsidR="00AD6BD2" w:rsidRPr="000B6D3B" w:rsidRDefault="000B6D3B" w:rsidP="000B6D3B">
      <w:pPr>
        <w:ind w:right="92"/>
        <w:jc w:val="both"/>
        <w:rPr>
          <w:b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="006B2308" w:rsidRPr="006B2308">
        <w:rPr>
          <w:rFonts w:cstheme="minorHAnsi"/>
          <w:iCs/>
        </w:rPr>
        <w:t xml:space="preserve">Neven Hržić, </w:t>
      </w:r>
      <w:proofErr w:type="spellStart"/>
      <w:r w:rsidR="006B2308" w:rsidRPr="006B2308">
        <w:rPr>
          <w:rFonts w:cstheme="minorHAnsi"/>
          <w:iCs/>
        </w:rPr>
        <w:t>str.spec.ing.građ</w:t>
      </w:r>
      <w:proofErr w:type="spellEnd"/>
      <w:r w:rsidR="006B2308" w:rsidRPr="006B2308">
        <w:rPr>
          <w:rFonts w:cstheme="minorHAnsi"/>
          <w:iCs/>
        </w:rPr>
        <w:t>.</w:t>
      </w:r>
    </w:p>
    <w:sectPr w:rsidR="00AD6BD2" w:rsidRPr="000B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A75"/>
    <w:multiLevelType w:val="multilevel"/>
    <w:tmpl w:val="9E8046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66A1C8A"/>
    <w:multiLevelType w:val="hybridMultilevel"/>
    <w:tmpl w:val="377AB6C6"/>
    <w:lvl w:ilvl="0" w:tplc="E1B225EA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7A4ACF"/>
    <w:multiLevelType w:val="multilevel"/>
    <w:tmpl w:val="38CC6D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4AA24DB"/>
    <w:multiLevelType w:val="multilevel"/>
    <w:tmpl w:val="6E843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C537517"/>
    <w:multiLevelType w:val="multilevel"/>
    <w:tmpl w:val="1480BB3E"/>
    <w:lvl w:ilvl="0">
      <w:start w:val="1"/>
      <w:numFmt w:val="decimal"/>
      <w:pStyle w:val="Heading2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159309E"/>
    <w:multiLevelType w:val="hybridMultilevel"/>
    <w:tmpl w:val="CC8E133A"/>
    <w:lvl w:ilvl="0" w:tplc="4E0A6B5A">
      <w:start w:val="1"/>
      <w:numFmt w:val="decimal"/>
      <w:lvlText w:val="1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2"/>
        <w:kern w:val="0"/>
        <w:position w:val="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94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680454">
    <w:abstractNumId w:val="2"/>
  </w:num>
  <w:num w:numId="3" w16cid:durableId="11052663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274267">
    <w:abstractNumId w:val="6"/>
  </w:num>
  <w:num w:numId="5" w16cid:durableId="1074364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77323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372555">
    <w:abstractNumId w:val="5"/>
  </w:num>
  <w:num w:numId="8" w16cid:durableId="1809013726">
    <w:abstractNumId w:val="8"/>
  </w:num>
  <w:num w:numId="9" w16cid:durableId="876697096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6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B"/>
    <w:rsid w:val="000B6D3B"/>
    <w:rsid w:val="000B776A"/>
    <w:rsid w:val="000D16BD"/>
    <w:rsid w:val="000F5D1E"/>
    <w:rsid w:val="00193C0E"/>
    <w:rsid w:val="00216CAF"/>
    <w:rsid w:val="003B4918"/>
    <w:rsid w:val="003F45A8"/>
    <w:rsid w:val="004125CD"/>
    <w:rsid w:val="00413176"/>
    <w:rsid w:val="00416C38"/>
    <w:rsid w:val="004F07DC"/>
    <w:rsid w:val="005545ED"/>
    <w:rsid w:val="005E3EC4"/>
    <w:rsid w:val="005E6496"/>
    <w:rsid w:val="005F4C0D"/>
    <w:rsid w:val="005F7F31"/>
    <w:rsid w:val="00616E06"/>
    <w:rsid w:val="00617337"/>
    <w:rsid w:val="006B2308"/>
    <w:rsid w:val="006D1A54"/>
    <w:rsid w:val="0076343A"/>
    <w:rsid w:val="007E56C8"/>
    <w:rsid w:val="00815FEE"/>
    <w:rsid w:val="00822EFF"/>
    <w:rsid w:val="0083363E"/>
    <w:rsid w:val="008671EC"/>
    <w:rsid w:val="00887302"/>
    <w:rsid w:val="008C018C"/>
    <w:rsid w:val="00987A95"/>
    <w:rsid w:val="009E62B9"/>
    <w:rsid w:val="00A25600"/>
    <w:rsid w:val="00A326C1"/>
    <w:rsid w:val="00A75464"/>
    <w:rsid w:val="00AA0E8D"/>
    <w:rsid w:val="00AD6BD2"/>
    <w:rsid w:val="00B10A2D"/>
    <w:rsid w:val="00B11E86"/>
    <w:rsid w:val="00BA5CA4"/>
    <w:rsid w:val="00C75785"/>
    <w:rsid w:val="00CA4E56"/>
    <w:rsid w:val="00D94225"/>
    <w:rsid w:val="00DD237A"/>
    <w:rsid w:val="00E11E6F"/>
    <w:rsid w:val="00E4790C"/>
    <w:rsid w:val="00E8758D"/>
    <w:rsid w:val="00FA2E4A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9EBA"/>
  <w15:chartTrackingRefBased/>
  <w15:docId w15:val="{E0D51BD5-63AD-409E-9716-3CC815B7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FA2E4A"/>
    <w:pPr>
      <w:keepNext/>
      <w:numPr>
        <w:numId w:val="7"/>
      </w:numPr>
      <w:overflowPunct w:val="0"/>
      <w:autoSpaceDE w:val="0"/>
      <w:autoSpaceDN w:val="0"/>
      <w:adjustRightInd w:val="0"/>
      <w:spacing w:before="480" w:after="300" w:line="240" w:lineRule="auto"/>
      <w:jc w:val="both"/>
      <w:textAlignment w:val="baseline"/>
      <w:outlineLvl w:val="1"/>
    </w:pPr>
    <w:rPr>
      <w:rFonts w:eastAsia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2E4A"/>
    <w:pPr>
      <w:keepNext/>
      <w:overflowPunct w:val="0"/>
      <w:autoSpaceDE w:val="0"/>
      <w:autoSpaceDN w:val="0"/>
      <w:adjustRightInd w:val="0"/>
      <w:spacing w:before="360" w:after="180" w:line="240" w:lineRule="auto"/>
      <w:jc w:val="both"/>
      <w:textAlignment w:val="baseline"/>
      <w:outlineLvl w:val="2"/>
    </w:pPr>
    <w:rPr>
      <w:rFonts w:eastAsia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E06"/>
    <w:pPr>
      <w:ind w:left="720"/>
      <w:contextualSpacing/>
    </w:pPr>
  </w:style>
  <w:style w:type="paragraph" w:styleId="NoSpacing">
    <w:name w:val="No Spacing"/>
    <w:uiPriority w:val="1"/>
    <w:qFormat/>
    <w:rsid w:val="00616E0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2E4A"/>
    <w:rPr>
      <w:rFonts w:eastAsia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A2E4A"/>
    <w:rPr>
      <w:rFonts w:eastAsia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Zvjezdana Ponoš</cp:lastModifiedBy>
  <cp:revision>4</cp:revision>
  <dcterms:created xsi:type="dcterms:W3CDTF">2022-06-01T07:47:00Z</dcterms:created>
  <dcterms:modified xsi:type="dcterms:W3CDTF">2022-06-06T10:44:00Z</dcterms:modified>
</cp:coreProperties>
</file>