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10C2" w14:textId="77777777" w:rsidR="00C7733E" w:rsidRPr="00FA3619" w:rsidRDefault="00C7733E" w:rsidP="00C7733E">
      <w:pPr>
        <w:spacing w:after="0" w:line="240" w:lineRule="auto"/>
        <w:jc w:val="center"/>
        <w:rPr>
          <w:b/>
          <w:sz w:val="24"/>
          <w:szCs w:val="24"/>
        </w:rPr>
      </w:pPr>
      <w:r w:rsidRPr="00FA3619">
        <w:rPr>
          <w:b/>
          <w:sz w:val="24"/>
          <w:szCs w:val="24"/>
        </w:rPr>
        <w:t>BILJEŠKE UZ FINANCIJSKE IZVJEŠTAJE</w:t>
      </w:r>
    </w:p>
    <w:p w14:paraId="63659C05" w14:textId="1E740907" w:rsidR="003442D8" w:rsidRPr="00FA3619" w:rsidRDefault="00C7733E" w:rsidP="00C7733E">
      <w:pPr>
        <w:spacing w:after="0" w:line="240" w:lineRule="auto"/>
        <w:jc w:val="center"/>
        <w:rPr>
          <w:b/>
          <w:sz w:val="24"/>
          <w:szCs w:val="24"/>
        </w:rPr>
      </w:pPr>
      <w:r w:rsidRPr="00FA3619">
        <w:rPr>
          <w:b/>
          <w:sz w:val="24"/>
          <w:szCs w:val="24"/>
        </w:rPr>
        <w:t>PONIKVE VODA d.o.o. ZA 20</w:t>
      </w:r>
      <w:r w:rsidR="00515ED6" w:rsidRPr="00FA3619">
        <w:rPr>
          <w:b/>
          <w:sz w:val="24"/>
          <w:szCs w:val="24"/>
        </w:rPr>
        <w:t>20</w:t>
      </w:r>
      <w:r w:rsidRPr="00FA3619">
        <w:rPr>
          <w:b/>
          <w:sz w:val="24"/>
          <w:szCs w:val="24"/>
        </w:rPr>
        <w:t>. GODINU</w:t>
      </w:r>
    </w:p>
    <w:p w14:paraId="4C1F58D6" w14:textId="77777777" w:rsidR="00C7733E" w:rsidRPr="00FA3619" w:rsidRDefault="00C7733E" w:rsidP="00C7733E">
      <w:pPr>
        <w:spacing w:after="0" w:line="240" w:lineRule="auto"/>
        <w:jc w:val="center"/>
        <w:rPr>
          <w:b/>
          <w:sz w:val="24"/>
          <w:szCs w:val="24"/>
        </w:rPr>
      </w:pPr>
    </w:p>
    <w:p w14:paraId="699FEE98" w14:textId="75514E37" w:rsidR="003442D8" w:rsidRPr="00D90CF2" w:rsidRDefault="003442D8" w:rsidP="00D90CF2">
      <w:pPr>
        <w:pStyle w:val="ListParagraph"/>
        <w:numPr>
          <w:ilvl w:val="0"/>
          <w:numId w:val="19"/>
        </w:numPr>
        <w:tabs>
          <w:tab w:val="left" w:pos="709"/>
        </w:tabs>
        <w:spacing w:after="0" w:line="240" w:lineRule="auto"/>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OSNOVNI PODACI O DRUŠTVU</w:t>
      </w:r>
    </w:p>
    <w:p w14:paraId="379129CA"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p>
    <w:p w14:paraId="56FD0BCA"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Ponikve voda je društvo s ograničenom odgovornošću (dalje: Društvo) za komunalne djelatnosti.</w:t>
      </w:r>
    </w:p>
    <w:p w14:paraId="44BA235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3E9B99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28817D32" w14:textId="77777777" w:rsidR="003442D8" w:rsidRPr="00FA3619" w:rsidRDefault="003442D8" w:rsidP="003442D8">
      <w:pPr>
        <w:spacing w:after="0" w:line="240" w:lineRule="auto"/>
        <w:jc w:val="both"/>
        <w:rPr>
          <w:rFonts w:ascii="Calibri" w:eastAsia="Times New Roman" w:hAnsi="Calibri" w:cs="Times New Roman"/>
          <w:sz w:val="24"/>
          <w:szCs w:val="24"/>
        </w:rPr>
      </w:pPr>
    </w:p>
    <w:p w14:paraId="0AACA881" w14:textId="75DD427C"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Radi usklađivanja sa Zakonom o vodama bilo je potrebno sve djelatnosti kojima se Društvo bavi</w:t>
      </w:r>
      <w:r w:rsidR="00515ED6" w:rsidRPr="00FA3619">
        <w:rPr>
          <w:rFonts w:ascii="Calibri" w:eastAsia="Times New Roman" w:hAnsi="Calibri" w:cs="Times New Roman"/>
          <w:iCs/>
          <w:sz w:val="24"/>
          <w:szCs w:val="24"/>
        </w:rPr>
        <w:t>lo</w:t>
      </w:r>
      <w:r w:rsidRPr="00FA3619">
        <w:rPr>
          <w:rFonts w:ascii="Calibri" w:eastAsia="Times New Roman" w:hAnsi="Calibri" w:cs="Times New Roman"/>
          <w:iCs/>
          <w:sz w:val="24"/>
          <w:szCs w:val="24"/>
        </w:rPr>
        <w:t>, a koje nisu javna vodoopskrba i javna odvodnja</w:t>
      </w:r>
      <w:r w:rsidR="00515ED6" w:rsidRPr="00FA3619">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izdvojiti iz poslovanja. Stoga su osnivači Ponikve d.o.o. odlučili da će postojeće društvo nastaviti obavljati djelatnost vodoopskrbe i javne odvodnje, a za obavljanje drugih djelatnosti osnovali su dva nova Društva.</w:t>
      </w:r>
    </w:p>
    <w:p w14:paraId="1CC91F5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Rješenjem trgovačkog suda u Rijeci Tt-13/9542-2 od 31.12.2013. godine Društvo nastavlja poslovati pod nazivom Ponikve voda d.o.o. Krk.</w:t>
      </w:r>
    </w:p>
    <w:p w14:paraId="6AC39169" w14:textId="46F8240C"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Danas se radi o srednje velikom komunalnom društvu u 100 %-tnom vlasništvu svih jedinica lokalne samouprave otoka Krka. Temeljni kapital Društva </w:t>
      </w:r>
      <w:r w:rsidR="006D3374" w:rsidRPr="00FA3619">
        <w:rPr>
          <w:rFonts w:ascii="Calibri" w:eastAsia="Times New Roman" w:hAnsi="Calibri" w:cs="Times New Roman"/>
          <w:iCs/>
          <w:sz w:val="24"/>
          <w:szCs w:val="24"/>
        </w:rPr>
        <w:t>na dan 31. prosinca 2020. iznosi</w:t>
      </w:r>
      <w:r w:rsidRPr="00FA3619">
        <w:rPr>
          <w:rFonts w:ascii="Calibri" w:eastAsia="Times New Roman" w:hAnsi="Calibri" w:cs="Times New Roman"/>
          <w:iCs/>
          <w:sz w:val="24"/>
          <w:szCs w:val="24"/>
        </w:rPr>
        <w:t xml:space="preserve"> 322.395.200</w:t>
      </w:r>
      <w:r w:rsidR="006D3374" w:rsidRPr="00FA3619">
        <w:rPr>
          <w:rFonts w:ascii="Calibri" w:eastAsia="Times New Roman" w:hAnsi="Calibri" w:cs="Times New Roman"/>
          <w:iCs/>
          <w:sz w:val="24"/>
          <w:szCs w:val="24"/>
        </w:rPr>
        <w:t>,00</w:t>
      </w:r>
      <w:r w:rsidRPr="00FA3619">
        <w:rPr>
          <w:rFonts w:ascii="Calibri" w:eastAsia="Times New Roman" w:hAnsi="Calibri" w:cs="Times New Roman"/>
          <w:iCs/>
          <w:sz w:val="24"/>
          <w:szCs w:val="24"/>
        </w:rPr>
        <w:t xml:space="preserve"> kn</w:t>
      </w:r>
      <w:r w:rsidR="006D3374" w:rsidRPr="00FA3619">
        <w:rPr>
          <w:rFonts w:ascii="Calibri" w:eastAsia="Times New Roman" w:hAnsi="Calibri" w:cs="Times New Roman"/>
          <w:iCs/>
          <w:sz w:val="24"/>
          <w:szCs w:val="24"/>
        </w:rPr>
        <w:t xml:space="preserve"> (Bilješka 2</w:t>
      </w:r>
      <w:r w:rsidR="005933CC">
        <w:rPr>
          <w:rFonts w:ascii="Calibri" w:eastAsia="Times New Roman" w:hAnsi="Calibri" w:cs="Times New Roman"/>
          <w:iCs/>
          <w:sz w:val="24"/>
          <w:szCs w:val="24"/>
        </w:rPr>
        <w:t>7</w:t>
      </w:r>
      <w:r w:rsidR="006D3374" w:rsidRPr="00FA3619">
        <w:rPr>
          <w:rFonts w:ascii="Calibri" w:eastAsia="Times New Roman" w:hAnsi="Calibri" w:cs="Times New Roman"/>
          <w:iCs/>
          <w:sz w:val="24"/>
          <w:szCs w:val="24"/>
        </w:rPr>
        <w:t>. /i/)</w:t>
      </w:r>
      <w:r w:rsidRPr="00FA3619">
        <w:rPr>
          <w:rFonts w:ascii="Calibri" w:eastAsia="Times New Roman" w:hAnsi="Calibri" w:cs="Times New Roman"/>
          <w:iCs/>
          <w:sz w:val="24"/>
          <w:szCs w:val="24"/>
        </w:rPr>
        <w:t xml:space="preserve">. </w:t>
      </w:r>
    </w:p>
    <w:p w14:paraId="6BAE5650"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A322DDB"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Osnovne djelatnosti Društva su:</w:t>
      </w:r>
    </w:p>
    <w:p w14:paraId="1215E887" w14:textId="77777777" w:rsidR="003442D8" w:rsidRPr="00FA3619" w:rsidRDefault="003442D8" w:rsidP="00F8554F">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proizvodnja i distribucija pitke vode</w:t>
      </w:r>
    </w:p>
    <w:p w14:paraId="6D863ED5" w14:textId="77777777" w:rsidR="003442D8" w:rsidRPr="00FA3619" w:rsidRDefault="003442D8" w:rsidP="00F8554F">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odvodnja i pročišćavanje otpadnih voda.</w:t>
      </w:r>
    </w:p>
    <w:p w14:paraId="52256FA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Osim navedenih djelatnosti Društvo se bavi i montažama mjesnih cjevovoda (vode i kanalizacije), izradom vodovodnih i kanalizacijskih priključaka.</w:t>
      </w:r>
    </w:p>
    <w:p w14:paraId="0138763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E1CDA93"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ima skupštinu društva i upravu. </w:t>
      </w:r>
    </w:p>
    <w:p w14:paraId="63FA202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Skupštinu društva čine članovi društva (osnivači) – jedinice lokalne samouprave, a njome predsjeda predsjednik. Predsjednik skupštine imenuje se na vrijeme od godinu dana.</w:t>
      </w:r>
    </w:p>
    <w:p w14:paraId="0DAF789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Svaki član skupštine ostvaruje prava i dužnosti sukladno veličini temeljnog uloga.</w:t>
      </w:r>
    </w:p>
    <w:p w14:paraId="1FB11FB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Skupština društva odlučuje o svim bitnim stvarima kao što su financijski izvještaji, godišnji planovi poslovanja, investicijski  i razvojni planovi, cijene komunalnih usluga  i slično.</w:t>
      </w:r>
    </w:p>
    <w:p w14:paraId="691A0BBD" w14:textId="77777777" w:rsidR="003442D8" w:rsidRPr="00FA3619" w:rsidRDefault="003442D8" w:rsidP="003442D8">
      <w:pPr>
        <w:spacing w:after="0" w:line="240" w:lineRule="auto"/>
        <w:ind w:right="92"/>
        <w:jc w:val="both"/>
        <w:rPr>
          <w:rFonts w:ascii="Calibri" w:eastAsia="Times New Roman" w:hAnsi="Calibri" w:cs="Times New Roman"/>
          <w:iCs/>
          <w:sz w:val="10"/>
          <w:szCs w:val="10"/>
        </w:rPr>
      </w:pPr>
    </w:p>
    <w:p w14:paraId="2741393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Poslove društva vodi uprava koja se sastoji od jednog direktora kojeg imenuje skupština na vrijeme od 4 godine. Uprava društva zastupa društvo, rukovodi i organizira proces rada i poslovanja te obavlja i druge poslove na temelju zakona i ovlaštenja.</w:t>
      </w:r>
    </w:p>
    <w:p w14:paraId="0C3CA78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0DF2E65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Direktor društva za razdoblje od 01.01.2018. do 31.12.2021. godine je mr.sc. Ivica Plišić, dipl.ing.građ.</w:t>
      </w:r>
    </w:p>
    <w:p w14:paraId="3A7C6A35" w14:textId="77777777" w:rsidR="003442D8" w:rsidRPr="00FA3619" w:rsidRDefault="003442D8" w:rsidP="003442D8">
      <w:pPr>
        <w:spacing w:after="0" w:line="240" w:lineRule="auto"/>
        <w:jc w:val="both"/>
        <w:rPr>
          <w:rFonts w:ascii="Calibri" w:eastAsia="Times New Roman" w:hAnsi="Calibri" w:cs="Times New Roman"/>
          <w:iCs/>
          <w:sz w:val="24"/>
          <w:szCs w:val="24"/>
        </w:rPr>
      </w:pPr>
    </w:p>
    <w:p w14:paraId="520346B9" w14:textId="77777777" w:rsidR="003442D8" w:rsidRPr="00FA3619" w:rsidRDefault="003442D8" w:rsidP="003442D8">
      <w:pPr>
        <w:spacing w:after="0" w:line="240" w:lineRule="auto"/>
        <w:jc w:val="both"/>
        <w:rPr>
          <w:rFonts w:ascii="Calibri" w:eastAsia="Times New Roman" w:hAnsi="Calibri" w:cs="Times New Roman"/>
          <w:iCs/>
          <w:sz w:val="24"/>
          <w:szCs w:val="24"/>
        </w:rPr>
      </w:pPr>
    </w:p>
    <w:p w14:paraId="62BD0E62" w14:textId="77777777" w:rsidR="003442D8" w:rsidRPr="00FA3619" w:rsidRDefault="003442D8" w:rsidP="003442D8">
      <w:pPr>
        <w:spacing w:after="0" w:line="240" w:lineRule="auto"/>
        <w:jc w:val="both"/>
        <w:rPr>
          <w:rFonts w:ascii="Calibri" w:eastAsia="Times New Roman" w:hAnsi="Calibri" w:cs="Times New Roman"/>
          <w:iCs/>
          <w:sz w:val="24"/>
          <w:szCs w:val="24"/>
        </w:rPr>
        <w:sectPr w:rsidR="003442D8" w:rsidRPr="00FA3619" w:rsidSect="003442D8">
          <w:footerReference w:type="default" r:id="rId8"/>
          <w:pgSz w:w="11906" w:h="16838" w:code="9"/>
          <w:pgMar w:top="1418" w:right="1418" w:bottom="1418" w:left="1418" w:header="181" w:footer="314" w:gutter="0"/>
          <w:cols w:space="720"/>
        </w:sectPr>
      </w:pPr>
    </w:p>
    <w:p w14:paraId="16E9DBD6" w14:textId="77777777" w:rsidR="003442D8" w:rsidRPr="00FA3619" w:rsidRDefault="003442D8" w:rsidP="003442D8">
      <w:pPr>
        <w:spacing w:after="0" w:line="240" w:lineRule="auto"/>
        <w:jc w:val="both"/>
        <w:rPr>
          <w:rFonts w:ascii="Calibri" w:eastAsia="Times New Roman" w:hAnsi="Calibri" w:cs="Times New Roman"/>
          <w:iCs/>
          <w:sz w:val="24"/>
          <w:szCs w:val="24"/>
        </w:rPr>
      </w:pPr>
      <w:r w:rsidRPr="00FA3619">
        <w:rPr>
          <w:rFonts w:ascii="Calibri" w:eastAsia="Times New Roman" w:hAnsi="Calibri" w:cs="Times New Roman"/>
          <w:iCs/>
          <w:sz w:val="24"/>
          <w:szCs w:val="24"/>
        </w:rPr>
        <w:lastRenderedPageBreak/>
        <w:t xml:space="preserve">Temeljem Obavijesti o razvrstavanju poslovnog subjekta prema Nacionalnoj klasifikaciji djelatnosti koju je izdao Državni zavod za statistiku Zagreb, od 13. siječnja 2014. godine, Društvo ima brojčanu oznaku razreda 3600 – Skupljanje, pročišćavanje i opskrba vodom, matični broj poslovnog subjekta je 3292525, a OIB je 64125437677. </w:t>
      </w:r>
    </w:p>
    <w:p w14:paraId="24A364EE" w14:textId="01C0DA13" w:rsidR="003442D8" w:rsidRPr="00FA3619" w:rsidRDefault="000C5329"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20</w:t>
      </w:r>
      <w:r w:rsidR="00515ED6" w:rsidRPr="00FA3619">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xml:space="preserve">. godini Društvo je prosječno zapošljavalo </w:t>
      </w:r>
      <w:r w:rsidR="00F145A0" w:rsidRPr="00FA3619">
        <w:rPr>
          <w:rFonts w:ascii="Calibri" w:eastAsia="Times New Roman" w:hAnsi="Calibri" w:cs="Times New Roman"/>
          <w:iCs/>
          <w:sz w:val="24"/>
          <w:szCs w:val="24"/>
        </w:rPr>
        <w:t>89</w:t>
      </w:r>
      <w:r w:rsidRPr="00FA3619">
        <w:rPr>
          <w:rFonts w:ascii="Calibri" w:eastAsia="Times New Roman" w:hAnsi="Calibri" w:cs="Times New Roman"/>
          <w:iCs/>
          <w:sz w:val="24"/>
          <w:szCs w:val="24"/>
        </w:rPr>
        <w:t xml:space="preserve"> radnik</w:t>
      </w:r>
      <w:r w:rsidR="00FF1E7E" w:rsidRPr="00FA3619">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 (u 201</w:t>
      </w:r>
      <w:r w:rsidR="00515ED6" w:rsidRPr="00FA3619">
        <w:rPr>
          <w:rFonts w:ascii="Calibri" w:eastAsia="Times New Roman" w:hAnsi="Calibri" w:cs="Times New Roman"/>
          <w:iCs/>
          <w:sz w:val="24"/>
          <w:szCs w:val="24"/>
        </w:rPr>
        <w:t>9</w:t>
      </w:r>
      <w:r w:rsidR="003442D8" w:rsidRPr="00FA3619">
        <w:rPr>
          <w:rFonts w:ascii="Calibri" w:eastAsia="Times New Roman" w:hAnsi="Calibri" w:cs="Times New Roman"/>
          <w:iCs/>
          <w:sz w:val="24"/>
          <w:szCs w:val="24"/>
        </w:rPr>
        <w:t xml:space="preserve">. godini </w:t>
      </w:r>
      <w:r w:rsidR="00515ED6" w:rsidRPr="00FA3619">
        <w:rPr>
          <w:rFonts w:ascii="Calibri" w:eastAsia="Times New Roman" w:hAnsi="Calibri" w:cs="Times New Roman"/>
          <w:iCs/>
          <w:sz w:val="24"/>
          <w:szCs w:val="24"/>
        </w:rPr>
        <w:t>91</w:t>
      </w:r>
      <w:r w:rsidR="003442D8" w:rsidRPr="00FA3619">
        <w:rPr>
          <w:rFonts w:ascii="Calibri" w:eastAsia="Times New Roman" w:hAnsi="Calibri" w:cs="Times New Roman"/>
          <w:iCs/>
          <w:sz w:val="24"/>
          <w:szCs w:val="24"/>
        </w:rPr>
        <w:t xml:space="preserve"> radnik).</w:t>
      </w:r>
    </w:p>
    <w:p w14:paraId="2B63BD2D"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2C5D4276" w14:textId="501EE7C4" w:rsidR="003442D8" w:rsidRDefault="003442D8" w:rsidP="003442D8">
      <w:pPr>
        <w:spacing w:after="0" w:line="240" w:lineRule="auto"/>
        <w:ind w:right="92"/>
        <w:jc w:val="both"/>
        <w:rPr>
          <w:rFonts w:ascii="Calibri" w:eastAsia="Times New Roman" w:hAnsi="Calibri" w:cs="Times New Roman"/>
          <w:iCs/>
          <w:sz w:val="24"/>
          <w:szCs w:val="24"/>
        </w:rPr>
      </w:pPr>
    </w:p>
    <w:p w14:paraId="4CAE343A" w14:textId="77777777" w:rsidR="0087334F" w:rsidRPr="00FA3619" w:rsidRDefault="0087334F" w:rsidP="003442D8">
      <w:pPr>
        <w:spacing w:after="0" w:line="240" w:lineRule="auto"/>
        <w:ind w:right="92"/>
        <w:jc w:val="both"/>
        <w:rPr>
          <w:rFonts w:ascii="Calibri" w:eastAsia="Times New Roman" w:hAnsi="Calibri" w:cs="Times New Roman"/>
          <w:iCs/>
          <w:sz w:val="24"/>
          <w:szCs w:val="24"/>
        </w:rPr>
      </w:pPr>
    </w:p>
    <w:p w14:paraId="10CB7DEA" w14:textId="77777777" w:rsidR="003442D8" w:rsidRPr="00FA3619" w:rsidRDefault="003442D8" w:rsidP="00F8554F">
      <w:pPr>
        <w:numPr>
          <w:ilvl w:val="1"/>
          <w:numId w:val="4"/>
        </w:numPr>
        <w:spacing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t>OKVIR ZA PREZENTIRANJE FINANCIJSKIH IZVJEŠTAJA</w:t>
      </w:r>
    </w:p>
    <w:p w14:paraId="69AA33B3" w14:textId="77777777" w:rsidR="003442D8" w:rsidRPr="00FA3619" w:rsidRDefault="003442D8" w:rsidP="003442D8">
      <w:pPr>
        <w:spacing w:after="0" w:line="240" w:lineRule="auto"/>
        <w:ind w:left="420" w:right="92"/>
        <w:rPr>
          <w:rFonts w:ascii="Calibri" w:eastAsia="Times New Roman" w:hAnsi="Calibri" w:cs="Times New Roman"/>
          <w:iCs/>
          <w:sz w:val="20"/>
          <w:szCs w:val="20"/>
        </w:rPr>
      </w:pPr>
    </w:p>
    <w:p w14:paraId="418E54FC" w14:textId="637F28AA" w:rsidR="003442D8" w:rsidRPr="00FA3619" w:rsidRDefault="000C5329" w:rsidP="003442D8">
      <w:pPr>
        <w:tabs>
          <w:tab w:val="left" w:pos="-18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Financijski izvještaji za 20</w:t>
      </w:r>
      <w:r w:rsidR="00515ED6" w:rsidRPr="00FA3619">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godinu sastavljeni su u skladu s propisima Republike Hrvatske, te računovodstvenim politikama poduzetnika.</w:t>
      </w:r>
    </w:p>
    <w:p w14:paraId="0C5F2429" w14:textId="49433924"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Računovodstvene politike Društva usklađene su s Hrvatskim standardima financijskog izvještavanja (NN 86/2015</w:t>
      </w:r>
      <w:r w:rsidR="00515ED6" w:rsidRPr="00FA3619">
        <w:rPr>
          <w:rFonts w:ascii="Calibri" w:eastAsia="Times New Roman" w:hAnsi="Calibri" w:cs="Times New Roman"/>
          <w:iCs/>
          <w:sz w:val="24"/>
          <w:szCs w:val="24"/>
        </w:rPr>
        <w:t>, 105/2020</w:t>
      </w:r>
      <w:r w:rsidRPr="00FA3619">
        <w:rPr>
          <w:rFonts w:ascii="Calibri" w:eastAsia="Times New Roman" w:hAnsi="Calibri" w:cs="Times New Roman"/>
          <w:iCs/>
          <w:sz w:val="24"/>
          <w:szCs w:val="24"/>
        </w:rPr>
        <w:t>) koje poduzetnik ima obvezu primjenjivati temeljem Zakona o računovodstvu (NN 78/15, 134/15,</w:t>
      </w:r>
      <w:r w:rsidR="00515ED6"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120/16,</w:t>
      </w:r>
      <w:r w:rsidR="00515ED6"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116/18</w:t>
      </w:r>
      <w:r w:rsidR="00515ED6" w:rsidRPr="00FA3619">
        <w:rPr>
          <w:rFonts w:ascii="Calibri" w:eastAsia="Times New Roman" w:hAnsi="Calibri" w:cs="Times New Roman"/>
          <w:iCs/>
          <w:sz w:val="24"/>
          <w:szCs w:val="24"/>
        </w:rPr>
        <w:t>, 42/20, 47/20</w:t>
      </w:r>
      <w:r w:rsidRPr="00FA3619">
        <w:rPr>
          <w:rFonts w:ascii="Calibri" w:eastAsia="Times New Roman" w:hAnsi="Calibri" w:cs="Times New Roman"/>
          <w:iCs/>
          <w:sz w:val="24"/>
          <w:szCs w:val="24"/>
        </w:rPr>
        <w:t xml:space="preserve">) uz izuzetak iskazivanja tečajnih razlika. </w:t>
      </w:r>
    </w:p>
    <w:p w14:paraId="38FAFFDA"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odstupilo od računovodstvene politike svođenja obveze po kreditu iz Projekta Jadran na srednji tečaj HNB-a (Bilješka 1.2.2., 1.2.4, 16) već tečajne razlike iskazuje iz platnog prometa. Na navedeni način je postupilo iz razloga što se sredstva za vraćanje te obveze osiguravaju iz posebno prikupljene naknade za razvoj.</w:t>
      </w:r>
    </w:p>
    <w:p w14:paraId="10362890" w14:textId="77777777" w:rsidR="003442D8" w:rsidRPr="00FA3619" w:rsidRDefault="003442D8" w:rsidP="003442D8">
      <w:pPr>
        <w:spacing w:after="0" w:line="240" w:lineRule="auto"/>
        <w:ind w:right="92"/>
        <w:jc w:val="both"/>
        <w:rPr>
          <w:rFonts w:ascii="Calibri" w:eastAsia="Times New Roman" w:hAnsi="Calibri" w:cs="Times New Roman"/>
          <w:iCs/>
          <w:sz w:val="16"/>
          <w:szCs w:val="16"/>
        </w:rPr>
      </w:pPr>
    </w:p>
    <w:p w14:paraId="08BED20A" w14:textId="7B52C9A6"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pozicije u financijskim izvještajima iskazalo u skladu sa zahtjevima iz Pravilnika o strukturi i sadržaju godišnjih financijskih izvještaja (NN 95/16</w:t>
      </w:r>
      <w:r w:rsidR="00515ED6" w:rsidRPr="00FA3619">
        <w:rPr>
          <w:rFonts w:ascii="Calibri" w:eastAsia="Times New Roman" w:hAnsi="Calibri" w:cs="Times New Roman"/>
          <w:iCs/>
          <w:sz w:val="24"/>
          <w:szCs w:val="24"/>
        </w:rPr>
        <w:t>, 144/20</w:t>
      </w:r>
      <w:r w:rsidRPr="00FA3619">
        <w:rPr>
          <w:rFonts w:ascii="Calibri" w:eastAsia="Times New Roman" w:hAnsi="Calibri" w:cs="Times New Roman"/>
          <w:iCs/>
          <w:sz w:val="24"/>
          <w:szCs w:val="24"/>
        </w:rPr>
        <w:t xml:space="preserve">). </w:t>
      </w:r>
    </w:p>
    <w:p w14:paraId="1B8C862D"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79043D3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Podaci u financijskim izvještajima prezentirani su u hrvatskim </w:t>
      </w:r>
      <w:r w:rsidR="001F5C5D" w:rsidRPr="00FA3619">
        <w:rPr>
          <w:rFonts w:ascii="Calibri" w:eastAsia="Times New Roman" w:hAnsi="Calibri" w:cs="Times New Roman"/>
          <w:iCs/>
          <w:sz w:val="24"/>
          <w:szCs w:val="24"/>
        </w:rPr>
        <w:t>k</w:t>
      </w:r>
      <w:r w:rsidR="000C5329" w:rsidRPr="00FA3619">
        <w:rPr>
          <w:rFonts w:ascii="Calibri" w:eastAsia="Times New Roman" w:hAnsi="Calibri" w:cs="Times New Roman"/>
          <w:iCs/>
          <w:sz w:val="24"/>
          <w:szCs w:val="24"/>
        </w:rPr>
        <w:t>u</w:t>
      </w:r>
      <w:r w:rsidR="001F5C5D" w:rsidRPr="00FA3619">
        <w:rPr>
          <w:rFonts w:ascii="Calibri" w:eastAsia="Times New Roman" w:hAnsi="Calibri" w:cs="Times New Roman"/>
          <w:iCs/>
          <w:sz w:val="24"/>
          <w:szCs w:val="24"/>
        </w:rPr>
        <w:t>n</w:t>
      </w:r>
      <w:r w:rsidR="000C5329" w:rsidRPr="00FA3619">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ma (HRK), kao izvještajnoj valuti u Republici Hrvatskoj. </w:t>
      </w:r>
    </w:p>
    <w:p w14:paraId="32AC80A1" w14:textId="7228942C" w:rsidR="003442D8" w:rsidRPr="00FA3619" w:rsidRDefault="003442D8" w:rsidP="003442D8">
      <w:pPr>
        <w:tabs>
          <w:tab w:val="left" w:pos="0"/>
        </w:tabs>
        <w:spacing w:after="0" w:line="240" w:lineRule="auto"/>
        <w:jc w:val="both"/>
        <w:rPr>
          <w:rFonts w:ascii="Calibri" w:eastAsia="Times New Roman" w:hAnsi="Calibri" w:cs="Arial"/>
          <w:sz w:val="24"/>
          <w:szCs w:val="24"/>
        </w:rPr>
      </w:pPr>
      <w:r w:rsidRPr="00FA3619">
        <w:rPr>
          <w:rFonts w:ascii="Calibri" w:eastAsia="Times New Roman" w:hAnsi="Calibri" w:cs="Arial"/>
          <w:sz w:val="24"/>
          <w:szCs w:val="24"/>
        </w:rPr>
        <w:t>Društvo je kreditne obveze s valutnom klauzulom svelo na srednji tečaj Hrvatske narodn</w:t>
      </w:r>
      <w:r w:rsidR="000C5329" w:rsidRPr="00FA3619">
        <w:rPr>
          <w:rFonts w:ascii="Calibri" w:eastAsia="Times New Roman" w:hAnsi="Calibri" w:cs="Arial"/>
          <w:sz w:val="24"/>
          <w:szCs w:val="24"/>
        </w:rPr>
        <w:t>e banke na dan 31. prosinca 20</w:t>
      </w:r>
      <w:r w:rsidR="00515ED6" w:rsidRPr="00FA3619">
        <w:rPr>
          <w:rFonts w:ascii="Calibri" w:eastAsia="Times New Roman" w:hAnsi="Calibri" w:cs="Arial"/>
          <w:sz w:val="24"/>
          <w:szCs w:val="24"/>
        </w:rPr>
        <w:t>20</w:t>
      </w:r>
      <w:r w:rsidRPr="00FA3619">
        <w:rPr>
          <w:rFonts w:ascii="Calibri" w:eastAsia="Times New Roman" w:hAnsi="Calibri" w:cs="Arial"/>
          <w:sz w:val="24"/>
          <w:szCs w:val="24"/>
        </w:rPr>
        <w:t>. godine i to 1 EUR =</w:t>
      </w:r>
      <w:r w:rsidR="000C5329" w:rsidRPr="00FA3619">
        <w:rPr>
          <w:rFonts w:ascii="Calibri" w:eastAsia="Times New Roman" w:hAnsi="Calibri" w:cs="Arial"/>
          <w:sz w:val="24"/>
          <w:szCs w:val="24"/>
        </w:rPr>
        <w:t xml:space="preserve"> </w:t>
      </w:r>
      <w:r w:rsidR="00515ED6" w:rsidRPr="00FA3619">
        <w:rPr>
          <w:rFonts w:ascii="Calibri" w:eastAsia="Times New Roman" w:hAnsi="Calibri" w:cs="Arial"/>
          <w:sz w:val="24"/>
          <w:szCs w:val="24"/>
        </w:rPr>
        <w:t xml:space="preserve">7,536898 </w:t>
      </w:r>
      <w:r w:rsidR="000C5329" w:rsidRPr="00FA3619">
        <w:rPr>
          <w:rFonts w:ascii="Calibri" w:eastAsia="Times New Roman" w:hAnsi="Calibri" w:cs="Arial"/>
          <w:sz w:val="24"/>
          <w:szCs w:val="24"/>
        </w:rPr>
        <w:t>HRK (na dan 31.12.201</w:t>
      </w:r>
      <w:r w:rsidR="00515ED6" w:rsidRPr="00FA3619">
        <w:rPr>
          <w:rFonts w:ascii="Calibri" w:eastAsia="Times New Roman" w:hAnsi="Calibri" w:cs="Arial"/>
          <w:sz w:val="24"/>
          <w:szCs w:val="24"/>
        </w:rPr>
        <w:t>9</w:t>
      </w:r>
      <w:r w:rsidRPr="00FA3619">
        <w:rPr>
          <w:rFonts w:ascii="Calibri" w:eastAsia="Times New Roman" w:hAnsi="Calibri" w:cs="Arial"/>
          <w:sz w:val="24"/>
          <w:szCs w:val="24"/>
        </w:rPr>
        <w:t xml:space="preserve">. godini 1 EUR = </w:t>
      </w:r>
      <w:r w:rsidR="00515ED6" w:rsidRPr="00FA3619">
        <w:rPr>
          <w:rFonts w:ascii="Calibri" w:eastAsia="Times New Roman" w:hAnsi="Calibri" w:cs="Arial"/>
          <w:sz w:val="24"/>
          <w:szCs w:val="24"/>
        </w:rPr>
        <w:t xml:space="preserve">7,442580 </w:t>
      </w:r>
      <w:r w:rsidRPr="00FA3619">
        <w:rPr>
          <w:rFonts w:ascii="Calibri" w:eastAsia="Times New Roman" w:hAnsi="Calibri" w:cs="Arial"/>
          <w:sz w:val="24"/>
          <w:szCs w:val="24"/>
        </w:rPr>
        <w:t>HRK).</w:t>
      </w:r>
    </w:p>
    <w:p w14:paraId="1ECF75D5"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7E841F3"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Dopunske informacije uz financijske izvještaje ne čine financijska izvješća već se iskazuju u svrhu dopunske analize.</w:t>
      </w:r>
    </w:p>
    <w:p w14:paraId="4436CB63" w14:textId="39F22095" w:rsidR="003442D8" w:rsidRDefault="003442D8" w:rsidP="003442D8">
      <w:pPr>
        <w:spacing w:after="0" w:line="240" w:lineRule="auto"/>
        <w:ind w:right="92"/>
        <w:rPr>
          <w:rFonts w:ascii="Calibri" w:eastAsia="Times New Roman" w:hAnsi="Calibri" w:cs="Times New Roman"/>
          <w:iCs/>
          <w:sz w:val="24"/>
          <w:szCs w:val="24"/>
        </w:rPr>
      </w:pPr>
    </w:p>
    <w:p w14:paraId="18D8CC36" w14:textId="77777777" w:rsidR="0087334F" w:rsidRPr="00FA3619" w:rsidRDefault="0087334F" w:rsidP="003442D8">
      <w:pPr>
        <w:spacing w:after="0" w:line="240" w:lineRule="auto"/>
        <w:ind w:right="92"/>
        <w:rPr>
          <w:rFonts w:ascii="Calibri" w:eastAsia="Times New Roman" w:hAnsi="Calibri" w:cs="Times New Roman"/>
          <w:iCs/>
          <w:sz w:val="24"/>
          <w:szCs w:val="24"/>
        </w:rPr>
      </w:pPr>
    </w:p>
    <w:p w14:paraId="05257314" w14:textId="77777777" w:rsidR="003442D8" w:rsidRPr="00FA3619" w:rsidRDefault="003442D8" w:rsidP="003442D8">
      <w:pPr>
        <w:spacing w:after="0" w:line="240" w:lineRule="auto"/>
        <w:ind w:right="92"/>
        <w:rPr>
          <w:rFonts w:ascii="Calibri" w:eastAsia="Times New Roman" w:hAnsi="Calibri" w:cs="Times New Roman"/>
          <w:iCs/>
          <w:sz w:val="24"/>
          <w:szCs w:val="24"/>
        </w:rPr>
      </w:pPr>
    </w:p>
    <w:p w14:paraId="08BC7F24" w14:textId="77777777" w:rsidR="003442D8" w:rsidRPr="00FA3619" w:rsidRDefault="003442D8" w:rsidP="003442D8">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1.2. </w:t>
      </w:r>
      <w:r w:rsidRPr="00FA3619">
        <w:rPr>
          <w:rFonts w:ascii="Calibri" w:eastAsia="Times New Roman" w:hAnsi="Calibri" w:cs="Times New Roman"/>
          <w:b/>
          <w:bCs/>
          <w:iCs/>
          <w:caps/>
          <w:sz w:val="24"/>
          <w:szCs w:val="24"/>
        </w:rPr>
        <w:t>Osnovne računovodstvene politike</w:t>
      </w:r>
    </w:p>
    <w:p w14:paraId="42663662"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6E089AE8" w14:textId="6AB344D8" w:rsidR="003442D8" w:rsidRPr="00FA3619" w:rsidRDefault="006D3374" w:rsidP="003442D8">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2020. godinu bile su iste kao u 2019. godini.</w:t>
      </w:r>
    </w:p>
    <w:p w14:paraId="5B2BB762" w14:textId="7F182E70" w:rsidR="003442D8" w:rsidRDefault="003442D8" w:rsidP="003442D8">
      <w:pPr>
        <w:spacing w:after="0" w:line="240" w:lineRule="auto"/>
        <w:ind w:right="92"/>
        <w:jc w:val="both"/>
        <w:rPr>
          <w:rFonts w:ascii="Calibri" w:eastAsia="Times New Roman" w:hAnsi="Calibri" w:cs="Times New Roman"/>
          <w:iCs/>
          <w:sz w:val="20"/>
          <w:szCs w:val="20"/>
        </w:rPr>
      </w:pPr>
    </w:p>
    <w:p w14:paraId="5DBA6F9A" w14:textId="77777777" w:rsidR="0087334F" w:rsidRPr="00FA3619" w:rsidRDefault="0087334F" w:rsidP="003442D8">
      <w:pPr>
        <w:spacing w:after="0" w:line="240" w:lineRule="auto"/>
        <w:ind w:right="92"/>
        <w:jc w:val="both"/>
        <w:rPr>
          <w:rFonts w:ascii="Calibri" w:eastAsia="Times New Roman" w:hAnsi="Calibri" w:cs="Times New Roman"/>
          <w:iCs/>
          <w:sz w:val="20"/>
          <w:szCs w:val="20"/>
        </w:rPr>
      </w:pPr>
    </w:p>
    <w:p w14:paraId="02C69BE9" w14:textId="166538FC" w:rsidR="002970EF" w:rsidRPr="00AD0D10" w:rsidRDefault="002970EF" w:rsidP="001F6422">
      <w:pPr>
        <w:pStyle w:val="ListParagraph"/>
        <w:numPr>
          <w:ilvl w:val="2"/>
          <w:numId w:val="1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PRIHODI</w:t>
      </w:r>
    </w:p>
    <w:p w14:paraId="1857DA3E" w14:textId="77777777" w:rsidR="002970EF" w:rsidRPr="00FA3619" w:rsidRDefault="002970EF" w:rsidP="002970EF">
      <w:pPr>
        <w:spacing w:after="0" w:line="240" w:lineRule="auto"/>
        <w:ind w:right="-2"/>
        <w:jc w:val="both"/>
        <w:rPr>
          <w:rFonts w:ascii="Calibri" w:eastAsia="Times New Roman" w:hAnsi="Calibri" w:cs="Arial"/>
          <w:sz w:val="24"/>
          <w:szCs w:val="24"/>
        </w:rPr>
      </w:pPr>
    </w:p>
    <w:p w14:paraId="7D5C3086" w14:textId="77777777" w:rsidR="002970EF" w:rsidRPr="00FA3619" w:rsidRDefault="002970EF" w:rsidP="002970EF">
      <w:pPr>
        <w:spacing w:after="0" w:line="240" w:lineRule="auto"/>
        <w:ind w:right="-2"/>
        <w:jc w:val="both"/>
        <w:rPr>
          <w:rFonts w:ascii="Calibri" w:eastAsia="Times New Roman" w:hAnsi="Calibri" w:cs="Arial"/>
          <w:sz w:val="24"/>
          <w:szCs w:val="24"/>
        </w:rPr>
      </w:pPr>
      <w:r w:rsidRPr="00FA3619">
        <w:rPr>
          <w:rFonts w:ascii="Calibri" w:eastAsia="Times New Roman" w:hAnsi="Calibri" w:cs="Arial"/>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6541F647" w14:textId="6F2861B8" w:rsidR="002970EF" w:rsidRPr="00FA3619" w:rsidRDefault="002970EF" w:rsidP="002970EF">
      <w:pPr>
        <w:spacing w:after="0" w:line="240" w:lineRule="auto"/>
        <w:ind w:right="92"/>
        <w:jc w:val="both"/>
        <w:rPr>
          <w:rFonts w:ascii="Calibri" w:eastAsia="Times New Roman" w:hAnsi="Calibri" w:cs="Arial"/>
          <w:sz w:val="24"/>
          <w:szCs w:val="24"/>
        </w:rPr>
      </w:pPr>
      <w:r w:rsidRPr="00FA3619">
        <w:rPr>
          <w:rFonts w:ascii="Calibri" w:eastAsia="Times New Roman" w:hAnsi="Calibri" w:cs="Arial"/>
          <w:sz w:val="24"/>
          <w:szCs w:val="24"/>
        </w:rPr>
        <w:t>Prihod se priznaje kada je vjerojatno da će buduće ekonomske koristi ulaziti kod poduzetnika i kada se koristi mogu pouzdano izmjeriti.</w:t>
      </w:r>
    </w:p>
    <w:p w14:paraId="3C09FDC1" w14:textId="0F278784" w:rsidR="002970EF" w:rsidRPr="00FA3619" w:rsidRDefault="002970EF" w:rsidP="002970EF">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Arial"/>
          <w:b/>
          <w:bCs/>
          <w:sz w:val="24"/>
          <w:szCs w:val="24"/>
        </w:rPr>
        <w:lastRenderedPageBreak/>
        <w:t>1.2.1.1. POSLOVNI PRIHODI</w:t>
      </w:r>
    </w:p>
    <w:p w14:paraId="6EB436CA" w14:textId="77777777" w:rsidR="003442D8" w:rsidRPr="0087334F" w:rsidRDefault="003442D8" w:rsidP="0087334F">
      <w:pPr>
        <w:spacing w:after="0" w:line="240" w:lineRule="auto"/>
        <w:ind w:right="92"/>
        <w:jc w:val="both"/>
        <w:rPr>
          <w:rFonts w:ascii="Calibri" w:eastAsia="Times New Roman" w:hAnsi="Calibri" w:cs="Times New Roman"/>
          <w:iCs/>
          <w:sz w:val="24"/>
          <w:szCs w:val="24"/>
        </w:rPr>
      </w:pPr>
    </w:p>
    <w:p w14:paraId="12A6D85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Poslovni prihodi obuhvaćaju prihode od prodaje i ostale poslovne prihode, a iskazani su po fakturiranoj vrijednosti (Bilješka 2).</w:t>
      </w:r>
    </w:p>
    <w:p w14:paraId="25C696A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Prihodi od prodaje obuhvaćaju prihode od prodaje vode i pružanja usluga.</w:t>
      </w:r>
    </w:p>
    <w:p w14:paraId="4E8DCFEB"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poslovne prihode čine prihodi od subvencija Ministarstva, naplate šteta od osiguranja, prihodi iz ranijih godina, refundacije, prihodi od naplaćenih otpisanih potraživanja, prihodi u visini amortizacije imovine nabavljene iz namjenskih sredstava i slično.</w:t>
      </w:r>
      <w:r w:rsidRPr="008F425B">
        <w:rPr>
          <w:rFonts w:ascii="Calibri" w:eastAsia="Times New Roman" w:hAnsi="Calibri" w:cs="Times New Roman"/>
          <w:iCs/>
          <w:sz w:val="24"/>
          <w:szCs w:val="24"/>
        </w:rPr>
        <w:t xml:space="preserve"> </w:t>
      </w:r>
    </w:p>
    <w:p w14:paraId="6EF39502" w14:textId="77777777" w:rsidR="003442D8" w:rsidRPr="008F425B" w:rsidRDefault="003442D8" w:rsidP="003442D8">
      <w:pPr>
        <w:spacing w:after="0" w:line="240" w:lineRule="auto"/>
        <w:ind w:right="92"/>
        <w:jc w:val="both"/>
        <w:rPr>
          <w:rFonts w:ascii="Calibri" w:eastAsia="Times New Roman" w:hAnsi="Calibri" w:cs="Times New Roman"/>
          <w:iCs/>
          <w:sz w:val="16"/>
          <w:szCs w:val="16"/>
        </w:rPr>
      </w:pPr>
    </w:p>
    <w:p w14:paraId="11A87247"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Temeljem Zakona o otocima i Ugovora sklopljenog u </w:t>
      </w:r>
      <w:r w:rsidR="004A34D9" w:rsidRPr="00FA3619">
        <w:rPr>
          <w:rFonts w:ascii="Calibri" w:eastAsia="Times New Roman" w:hAnsi="Calibri" w:cs="Times New Roman"/>
          <w:iCs/>
          <w:sz w:val="24"/>
          <w:szCs w:val="24"/>
        </w:rPr>
        <w:t xml:space="preserve">travnju </w:t>
      </w:r>
      <w:r w:rsidRPr="00FA3619">
        <w:rPr>
          <w:rFonts w:ascii="Calibri" w:eastAsia="Times New Roman" w:hAnsi="Calibri" w:cs="Times New Roman"/>
          <w:iCs/>
          <w:sz w:val="24"/>
          <w:szCs w:val="24"/>
        </w:rPr>
        <w:t>201</w:t>
      </w:r>
      <w:r w:rsidR="004A34D9" w:rsidRPr="00FA3619">
        <w:rPr>
          <w:rFonts w:ascii="Calibri" w:eastAsia="Times New Roman" w:hAnsi="Calibri" w:cs="Times New Roman"/>
          <w:iCs/>
          <w:sz w:val="24"/>
          <w:szCs w:val="24"/>
        </w:rPr>
        <w:t>9</w:t>
      </w:r>
      <w:r w:rsidRPr="00FA3619">
        <w:rPr>
          <w:rFonts w:ascii="Calibri" w:eastAsia="Times New Roman" w:hAnsi="Calibri" w:cs="Times New Roman"/>
          <w:iCs/>
          <w:sz w:val="24"/>
          <w:szCs w:val="24"/>
        </w:rPr>
        <w:t>. godine, nadležno Ministarstvo regionalnog razvoja i fondova Europske unije - Uprava za otoke podmirivalo je Društvu razliku u cijeni vode za domaćinstva čiji članovi imaju prebivalište na otoku, a opskrbljuju se pitkom vodom cestovnim vozilom (Bilješka 2 b) /i/).</w:t>
      </w:r>
    </w:p>
    <w:p w14:paraId="32C47045" w14:textId="77777777" w:rsidR="003442D8" w:rsidRPr="00FA3619" w:rsidRDefault="003442D8" w:rsidP="003442D8">
      <w:pPr>
        <w:spacing w:after="0" w:line="240" w:lineRule="auto"/>
        <w:ind w:right="92"/>
        <w:jc w:val="both"/>
        <w:rPr>
          <w:rFonts w:ascii="Calibri" w:eastAsia="Times New Roman" w:hAnsi="Calibri" w:cs="Times New Roman"/>
          <w:b/>
          <w:bCs/>
          <w:iCs/>
        </w:rPr>
      </w:pPr>
    </w:p>
    <w:p w14:paraId="3513E6E7" w14:textId="188C1CDB" w:rsidR="003442D8" w:rsidRPr="00FA3619" w:rsidRDefault="003442D8" w:rsidP="003442D8">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1.2.</w:t>
      </w:r>
      <w:r w:rsidR="002970EF" w:rsidRPr="00FA3619">
        <w:rPr>
          <w:rFonts w:ascii="Calibri" w:eastAsia="Times New Roman" w:hAnsi="Calibri" w:cs="Times New Roman"/>
          <w:b/>
          <w:bCs/>
          <w:iCs/>
          <w:sz w:val="24"/>
          <w:szCs w:val="24"/>
        </w:rPr>
        <w:t>1.</w:t>
      </w:r>
      <w:r w:rsidRPr="00FA3619">
        <w:rPr>
          <w:rFonts w:ascii="Calibri" w:eastAsia="Times New Roman" w:hAnsi="Calibri" w:cs="Times New Roman"/>
          <w:b/>
          <w:bCs/>
          <w:iCs/>
          <w:sz w:val="24"/>
          <w:szCs w:val="24"/>
        </w:rPr>
        <w:t xml:space="preserve">2. </w:t>
      </w:r>
      <w:r w:rsidRPr="00FA3619">
        <w:rPr>
          <w:rFonts w:ascii="Calibri" w:eastAsia="Times New Roman" w:hAnsi="Calibri" w:cs="Times New Roman"/>
          <w:b/>
          <w:bCs/>
          <w:iCs/>
          <w:smallCaps/>
          <w:sz w:val="24"/>
          <w:szCs w:val="24"/>
        </w:rPr>
        <w:t>FINANCIJSKI PRIHODI</w:t>
      </w:r>
    </w:p>
    <w:p w14:paraId="578DEB9B" w14:textId="77777777" w:rsidR="003442D8" w:rsidRPr="0087334F" w:rsidRDefault="003442D8" w:rsidP="003442D8">
      <w:pPr>
        <w:spacing w:after="0" w:line="240" w:lineRule="auto"/>
        <w:ind w:right="92"/>
        <w:jc w:val="both"/>
        <w:rPr>
          <w:rFonts w:ascii="Calibri" w:eastAsia="Times New Roman" w:hAnsi="Calibri" w:cs="Times New Roman"/>
          <w:iCs/>
          <w:sz w:val="24"/>
          <w:szCs w:val="24"/>
        </w:rPr>
      </w:pPr>
    </w:p>
    <w:p w14:paraId="7A948248" w14:textId="614B210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Financijske prihode čine kamate na nepravovremena plaćanja, kamate na novčana sredstva na žiro-računima te tečajne razlike</w:t>
      </w:r>
      <w:r w:rsidR="00EE3589" w:rsidRPr="00FA3619">
        <w:rPr>
          <w:rFonts w:ascii="Calibri" w:eastAsia="Times New Roman" w:hAnsi="Calibri" w:cs="Times New Roman"/>
          <w:iCs/>
          <w:sz w:val="24"/>
          <w:szCs w:val="24"/>
        </w:rPr>
        <w:t xml:space="preserve"> (Bilješka </w:t>
      </w:r>
      <w:r w:rsidR="005933CC">
        <w:rPr>
          <w:rFonts w:ascii="Calibri" w:eastAsia="Times New Roman" w:hAnsi="Calibri" w:cs="Times New Roman"/>
          <w:iCs/>
          <w:sz w:val="24"/>
          <w:szCs w:val="24"/>
        </w:rPr>
        <w:t>3</w:t>
      </w:r>
      <w:r w:rsidR="00EE3589" w:rsidRPr="00FA3619">
        <w:rPr>
          <w:rFonts w:ascii="Calibri" w:eastAsia="Times New Roman" w:hAnsi="Calibri" w:cs="Times New Roman"/>
          <w:iCs/>
          <w:sz w:val="24"/>
          <w:szCs w:val="24"/>
        </w:rPr>
        <w:t>)</w:t>
      </w:r>
      <w:r w:rsidRPr="00FA3619">
        <w:rPr>
          <w:rFonts w:ascii="Calibri" w:eastAsia="Times New Roman" w:hAnsi="Calibri" w:cs="Times New Roman"/>
          <w:iCs/>
          <w:sz w:val="24"/>
          <w:szCs w:val="24"/>
        </w:rPr>
        <w:t>.</w:t>
      </w:r>
    </w:p>
    <w:p w14:paraId="2C061823" w14:textId="1DCDDAFB" w:rsidR="000D568F" w:rsidRDefault="000D568F" w:rsidP="003442D8">
      <w:pPr>
        <w:spacing w:after="0" w:line="240" w:lineRule="auto"/>
        <w:ind w:right="92"/>
        <w:jc w:val="both"/>
        <w:rPr>
          <w:rFonts w:ascii="Calibri" w:eastAsia="Times New Roman" w:hAnsi="Calibri" w:cs="Times New Roman"/>
          <w:b/>
          <w:bCs/>
          <w:iCs/>
          <w:sz w:val="24"/>
          <w:szCs w:val="24"/>
        </w:rPr>
      </w:pPr>
    </w:p>
    <w:p w14:paraId="7D569ED4" w14:textId="77777777" w:rsidR="0087334F" w:rsidRPr="00FA3619" w:rsidRDefault="0087334F" w:rsidP="003442D8">
      <w:pPr>
        <w:spacing w:after="0" w:line="240" w:lineRule="auto"/>
        <w:ind w:right="92"/>
        <w:jc w:val="both"/>
        <w:rPr>
          <w:rFonts w:ascii="Calibri" w:eastAsia="Times New Roman" w:hAnsi="Calibri" w:cs="Times New Roman"/>
          <w:b/>
          <w:bCs/>
          <w:iCs/>
          <w:sz w:val="24"/>
          <w:szCs w:val="24"/>
        </w:rPr>
      </w:pPr>
    </w:p>
    <w:p w14:paraId="741DE1EC" w14:textId="4006C258" w:rsidR="002970EF" w:rsidRDefault="002970EF" w:rsidP="001F6422">
      <w:pPr>
        <w:pStyle w:val="ListParagraph"/>
        <w:numPr>
          <w:ilvl w:val="2"/>
          <w:numId w:val="1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RASHODI</w:t>
      </w:r>
    </w:p>
    <w:p w14:paraId="5E5A8408" w14:textId="77777777" w:rsidR="001F6422" w:rsidRPr="00AD0D10" w:rsidRDefault="001F6422" w:rsidP="001F6422">
      <w:pPr>
        <w:pStyle w:val="ListParagraph"/>
        <w:spacing w:after="0" w:line="240" w:lineRule="auto"/>
        <w:ind w:left="1080" w:right="-2"/>
        <w:jc w:val="both"/>
        <w:rPr>
          <w:rFonts w:ascii="Calibri" w:eastAsia="Times New Roman" w:hAnsi="Calibri" w:cs="Arial"/>
          <w:b/>
          <w:bCs/>
          <w:sz w:val="24"/>
          <w:szCs w:val="24"/>
        </w:rPr>
      </w:pPr>
    </w:p>
    <w:p w14:paraId="4137B0F9" w14:textId="5099F0A4"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b/>
          <w:sz w:val="24"/>
          <w:szCs w:val="24"/>
        </w:rPr>
        <w:t xml:space="preserve">Rashodi </w:t>
      </w:r>
      <w:r w:rsidRPr="00FA3619">
        <w:rPr>
          <w:rFonts w:ascii="Calibri" w:hAnsi="Calibri" w:cs="Arial"/>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108D2803"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kada se mogu pouzdano izmjeriti. Priznavanje rashoda pojavljuje se istodobno s priznavanjem povećanja obveza ili smanjenja imovine.</w:t>
      </w:r>
    </w:p>
    <w:p w14:paraId="1244AF9E"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na temelju izravne povezanosti između nastalih troškova i određene stavke prihoda, odnosno sučeljavanje rashoda s prihodima.</w:t>
      </w:r>
    </w:p>
    <w:p w14:paraId="70120089"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 xml:space="preserve">Svi rashodi koji se odnose na obračunsko razdoblje bez obzira na to kada će biti plaćeni knjiže se na teret računa rashoda, odnosno troškova razdoblja na koje se odnose. </w:t>
      </w:r>
    </w:p>
    <w:p w14:paraId="584F919F"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7F92744C" w14:textId="32756493" w:rsidR="003442D8" w:rsidRPr="00FA3619" w:rsidRDefault="003442D8" w:rsidP="003442D8">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1.2.</w:t>
      </w:r>
      <w:r w:rsidR="002970EF" w:rsidRPr="00FA3619">
        <w:rPr>
          <w:rFonts w:ascii="Calibri" w:eastAsia="Times New Roman" w:hAnsi="Calibri" w:cs="Times New Roman"/>
          <w:b/>
          <w:bCs/>
          <w:iCs/>
          <w:sz w:val="24"/>
          <w:szCs w:val="24"/>
        </w:rPr>
        <w:t>2.1</w:t>
      </w:r>
      <w:r w:rsidRPr="00FA3619">
        <w:rPr>
          <w:rFonts w:ascii="Calibri" w:eastAsia="Times New Roman" w:hAnsi="Calibri" w:cs="Times New Roman"/>
          <w:b/>
          <w:bCs/>
          <w:iCs/>
          <w:sz w:val="24"/>
          <w:szCs w:val="24"/>
        </w:rPr>
        <w:t xml:space="preserve">. </w:t>
      </w:r>
      <w:r w:rsidRPr="00FA3619">
        <w:rPr>
          <w:rFonts w:ascii="Calibri" w:eastAsia="Times New Roman" w:hAnsi="Calibri" w:cs="Times New Roman"/>
          <w:b/>
          <w:bCs/>
          <w:iCs/>
          <w:smallCaps/>
          <w:sz w:val="24"/>
          <w:szCs w:val="24"/>
        </w:rPr>
        <w:t>POSLOVNI RASHODI</w:t>
      </w:r>
    </w:p>
    <w:p w14:paraId="30848B42" w14:textId="77777777" w:rsidR="003442D8" w:rsidRPr="00FA3619" w:rsidRDefault="003442D8" w:rsidP="003442D8">
      <w:pPr>
        <w:spacing w:after="0" w:line="240" w:lineRule="auto"/>
        <w:ind w:left="900" w:right="92"/>
        <w:jc w:val="both"/>
        <w:rPr>
          <w:rFonts w:ascii="Calibri" w:eastAsia="Times New Roman" w:hAnsi="Calibri" w:cs="Times New Roman"/>
          <w:iCs/>
          <w:sz w:val="24"/>
          <w:szCs w:val="24"/>
        </w:rPr>
      </w:pPr>
    </w:p>
    <w:p w14:paraId="67DF425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Poslovne rashode čine materijalni troškovi, troškovi osoblja, amortizacija, ostali troškovi, vrijednosno usklađenje potraživanja i ostali poslovni rashodi (Bilješka 4).</w:t>
      </w:r>
    </w:p>
    <w:p w14:paraId="7B01A60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094B35E2" w14:textId="236AF19E"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w:t>
      </w:r>
      <w:r w:rsidR="003442D8" w:rsidRPr="00FA3619">
        <w:rPr>
          <w:rFonts w:ascii="Calibri" w:eastAsia="Times New Roman" w:hAnsi="Calibri" w:cs="Times New Roman"/>
          <w:b/>
          <w:bCs/>
          <w:iCs/>
          <w:sz w:val="24"/>
          <w:szCs w:val="24"/>
        </w:rPr>
        <w:tab/>
        <w:t xml:space="preserve">Materijalne troškove </w:t>
      </w:r>
      <w:r w:rsidR="003442D8" w:rsidRPr="00FA3619">
        <w:rPr>
          <w:rFonts w:ascii="Calibri" w:eastAsia="Times New Roman" w:hAnsi="Calibri" w:cs="Times New Roman"/>
          <w:iCs/>
          <w:sz w:val="24"/>
          <w:szCs w:val="24"/>
        </w:rPr>
        <w:t>čine troškovi materijala, rezervnih dijelova, energije i goriva, troškovi sitnog inventara i</w:t>
      </w:r>
      <w:r w:rsidR="00EE3589" w:rsidRPr="00FA3619">
        <w:rPr>
          <w:rFonts w:ascii="Calibri" w:eastAsia="Times New Roman" w:hAnsi="Calibri" w:cs="Times New Roman"/>
          <w:iCs/>
          <w:sz w:val="24"/>
          <w:szCs w:val="24"/>
        </w:rPr>
        <w:t xml:space="preserve"> </w:t>
      </w:r>
      <w:r w:rsidR="003442D8" w:rsidRPr="00FA3619">
        <w:rPr>
          <w:rFonts w:ascii="Calibri" w:eastAsia="Times New Roman" w:hAnsi="Calibri" w:cs="Times New Roman"/>
          <w:iCs/>
          <w:sz w:val="24"/>
          <w:szCs w:val="24"/>
        </w:rPr>
        <w:t>zaštitne odjeće, poštanski i telefonski troškovi, tekuće i investicijsko održavanje, komunalne usluge, intelektualne usluge i ostale usluge.</w:t>
      </w:r>
    </w:p>
    <w:p w14:paraId="255EE2C4"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442E2D8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A947F76" w14:textId="2BED6073" w:rsidR="003442D8" w:rsidRPr="00FA3619" w:rsidRDefault="00E47152" w:rsidP="003442D8">
      <w:pPr>
        <w:tabs>
          <w:tab w:val="left" w:pos="-180"/>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/ii/</w:t>
      </w:r>
      <w:r w:rsidR="003442D8" w:rsidRPr="00FA3619">
        <w:rPr>
          <w:rFonts w:ascii="Calibri" w:eastAsia="Times New Roman" w:hAnsi="Calibri" w:cs="Times New Roman"/>
          <w:b/>
          <w:bCs/>
          <w:iCs/>
          <w:sz w:val="24"/>
          <w:szCs w:val="24"/>
        </w:rPr>
        <w:t xml:space="preserve"> </w:t>
      </w:r>
      <w:r w:rsidR="003442D8" w:rsidRPr="00FA3619">
        <w:rPr>
          <w:rFonts w:ascii="Calibri" w:eastAsia="Times New Roman" w:hAnsi="Calibri" w:cs="Times New Roman"/>
          <w:b/>
          <w:bCs/>
          <w:iCs/>
          <w:sz w:val="24"/>
          <w:szCs w:val="24"/>
        </w:rPr>
        <w:tab/>
        <w:t xml:space="preserve">Troškove osoblja </w:t>
      </w:r>
      <w:r w:rsidR="003442D8" w:rsidRPr="00FA3619">
        <w:rPr>
          <w:rFonts w:ascii="Calibri" w:eastAsia="Times New Roman" w:hAnsi="Calibri" w:cs="Times New Roman"/>
          <w:iCs/>
          <w:sz w:val="24"/>
          <w:szCs w:val="24"/>
        </w:rPr>
        <w:t>čine neto plaće i naknade plaća zajedno sa porezima i doprinosima iz i na plaće.</w:t>
      </w:r>
    </w:p>
    <w:p w14:paraId="6DEAA449" w14:textId="203A9DD6" w:rsidR="003442D8" w:rsidRDefault="003442D8" w:rsidP="003442D8">
      <w:pPr>
        <w:spacing w:after="0" w:line="240" w:lineRule="auto"/>
        <w:ind w:right="92"/>
        <w:jc w:val="both"/>
        <w:rPr>
          <w:rFonts w:ascii="Calibri" w:eastAsia="Times New Roman" w:hAnsi="Calibri" w:cs="Times New Roman"/>
          <w:iCs/>
          <w:sz w:val="24"/>
          <w:szCs w:val="24"/>
        </w:rPr>
      </w:pPr>
    </w:p>
    <w:p w14:paraId="03C5CC33" w14:textId="77777777" w:rsidR="00FE66F8" w:rsidRPr="00FA3619" w:rsidRDefault="00FE66F8" w:rsidP="003442D8">
      <w:pPr>
        <w:spacing w:after="0" w:line="240" w:lineRule="auto"/>
        <w:ind w:right="92"/>
        <w:jc w:val="both"/>
        <w:rPr>
          <w:rFonts w:ascii="Calibri" w:eastAsia="Times New Roman" w:hAnsi="Calibri" w:cs="Times New Roman"/>
          <w:iCs/>
          <w:sz w:val="24"/>
          <w:szCs w:val="24"/>
        </w:rPr>
      </w:pPr>
    </w:p>
    <w:p w14:paraId="5DAD7D3A" w14:textId="7F00E597" w:rsidR="003442D8" w:rsidRPr="00FA3619" w:rsidRDefault="00E47152" w:rsidP="003442D8">
      <w:pPr>
        <w:tabs>
          <w:tab w:val="left" w:pos="840"/>
        </w:tabs>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lastRenderedPageBreak/>
        <w:t>/iii/</w:t>
      </w:r>
      <w:r w:rsidR="003442D8" w:rsidRPr="00FA3619">
        <w:rPr>
          <w:rFonts w:ascii="Calibri" w:eastAsia="Times New Roman" w:hAnsi="Calibri" w:cs="Times New Roman"/>
          <w:b/>
          <w:bCs/>
          <w:iCs/>
          <w:sz w:val="24"/>
          <w:szCs w:val="24"/>
        </w:rPr>
        <w:t xml:space="preserve"> </w:t>
      </w:r>
      <w:r w:rsidR="003442D8" w:rsidRPr="00FA3619">
        <w:rPr>
          <w:rFonts w:ascii="Calibri" w:eastAsia="Times New Roman" w:hAnsi="Calibri" w:cs="Times New Roman"/>
          <w:b/>
          <w:bCs/>
          <w:iCs/>
          <w:sz w:val="24"/>
          <w:szCs w:val="24"/>
        </w:rPr>
        <w:tab/>
        <w:t>Amortizacija</w:t>
      </w:r>
    </w:p>
    <w:p w14:paraId="63AA0BE2" w14:textId="77777777" w:rsidR="003442D8" w:rsidRPr="00FA3619" w:rsidRDefault="003442D8" w:rsidP="003442D8">
      <w:pPr>
        <w:spacing w:after="0" w:line="240" w:lineRule="auto"/>
        <w:ind w:left="900" w:right="92"/>
        <w:jc w:val="both"/>
        <w:rPr>
          <w:rFonts w:ascii="Calibri" w:eastAsia="Times New Roman" w:hAnsi="Calibri" w:cs="Times New Roman"/>
          <w:b/>
          <w:bCs/>
          <w:iCs/>
          <w:sz w:val="20"/>
          <w:szCs w:val="20"/>
        </w:rPr>
      </w:pPr>
    </w:p>
    <w:p w14:paraId="0D96D9EF"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Obračun amortizacije obavlja se pojedinačno za svako sredstvo razvrstano po amortizacijskim grupama po linearnoj metodi, a po stopama koje ne prelaze porezno dopustive stope.</w:t>
      </w:r>
    </w:p>
    <w:p w14:paraId="6F3370D3" w14:textId="77777777" w:rsidR="003442D8" w:rsidRPr="00FA3619" w:rsidRDefault="003442D8" w:rsidP="00A3483A">
      <w:pPr>
        <w:spacing w:after="0" w:line="240" w:lineRule="auto"/>
        <w:ind w:left="900" w:right="91"/>
        <w:jc w:val="both"/>
        <w:rPr>
          <w:rFonts w:ascii="Calibri" w:eastAsia="Times New Roman" w:hAnsi="Calibri" w:cs="Times New Roman"/>
          <w:iCs/>
          <w:sz w:val="10"/>
          <w:szCs w:val="10"/>
        </w:rPr>
      </w:pPr>
    </w:p>
    <w:p w14:paraId="237C480A" w14:textId="77777777" w:rsidR="003442D8" w:rsidRPr="00FA3619" w:rsidRDefault="003442D8" w:rsidP="00A3483A">
      <w:pPr>
        <w:spacing w:after="0" w:line="240" w:lineRule="auto"/>
        <w:ind w:right="91"/>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Novonabavljena imovina amortizira se od prvog dana sljedećeg mjeseca kad se stavi u uporabu.</w:t>
      </w:r>
    </w:p>
    <w:p w14:paraId="71E464FF" w14:textId="77777777" w:rsidR="003442D8" w:rsidRPr="00FA3619" w:rsidRDefault="003442D8" w:rsidP="00A3483A">
      <w:pPr>
        <w:spacing w:after="0" w:line="240" w:lineRule="auto"/>
        <w:ind w:right="91"/>
        <w:jc w:val="both"/>
        <w:rPr>
          <w:rFonts w:ascii="Calibri" w:eastAsia="Times New Roman" w:hAnsi="Calibri" w:cs="Times New Roman"/>
          <w:b/>
          <w:bCs/>
          <w:iCs/>
          <w:sz w:val="10"/>
          <w:szCs w:val="10"/>
        </w:rPr>
      </w:pPr>
    </w:p>
    <w:p w14:paraId="620381C5"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slučaju rashoda ili prodaje, imovina se amortizira zaključno s mjesecom u kojem je došlo do rashoda ili otuđenja.</w:t>
      </w:r>
    </w:p>
    <w:p w14:paraId="3B965B94" w14:textId="77777777" w:rsidR="003442D8" w:rsidRPr="00FA3619" w:rsidRDefault="003442D8" w:rsidP="00A3483A">
      <w:pPr>
        <w:spacing w:after="0" w:line="240" w:lineRule="auto"/>
        <w:ind w:left="900" w:right="91"/>
        <w:jc w:val="both"/>
        <w:rPr>
          <w:rFonts w:ascii="Calibri" w:eastAsia="Times New Roman" w:hAnsi="Calibri" w:cs="Times New Roman"/>
          <w:iCs/>
          <w:sz w:val="10"/>
          <w:szCs w:val="10"/>
        </w:rPr>
      </w:pPr>
    </w:p>
    <w:p w14:paraId="1243FDA8"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Jedanput amortizirano sredstvo dugotrajne imovine više se ne otpisuje.</w:t>
      </w:r>
    </w:p>
    <w:p w14:paraId="5566D50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507FDFB" w14:textId="2B485F81"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/iv/</w:t>
      </w:r>
      <w:r w:rsidR="003442D8" w:rsidRPr="00FA3619">
        <w:rPr>
          <w:rFonts w:ascii="Calibri" w:eastAsia="Times New Roman" w:hAnsi="Calibri" w:cs="Times New Roman"/>
          <w:b/>
          <w:bCs/>
          <w:iCs/>
          <w:sz w:val="24"/>
          <w:szCs w:val="24"/>
        </w:rPr>
        <w:tab/>
        <w:t>Ostale troškove poslovanja</w:t>
      </w:r>
      <w:r w:rsidR="003442D8" w:rsidRPr="00FA3619">
        <w:rPr>
          <w:rFonts w:ascii="Calibri" w:eastAsia="Times New Roman" w:hAnsi="Calibri" w:cs="Times New Roman"/>
          <w:iCs/>
          <w:sz w:val="24"/>
          <w:szCs w:val="24"/>
        </w:rPr>
        <w:t xml:space="preserve"> čine dnevnice, troškovi prijevoza na posao i s posla, ostala materijalna prava zaposlenih, premije osiguranja, troškovi stručnog obrazovanja, reprezentacija, komunalna naknada, koncesijsk</w:t>
      </w:r>
      <w:r w:rsidR="00EE3589" w:rsidRPr="00FA3619">
        <w:rPr>
          <w:rFonts w:ascii="Calibri" w:eastAsia="Times New Roman" w:hAnsi="Calibri" w:cs="Times New Roman"/>
          <w:iCs/>
          <w:sz w:val="24"/>
          <w:szCs w:val="24"/>
        </w:rPr>
        <w:t>e</w:t>
      </w:r>
      <w:r w:rsidR="003442D8" w:rsidRPr="00FA3619">
        <w:rPr>
          <w:rFonts w:ascii="Calibri" w:eastAsia="Times New Roman" w:hAnsi="Calibri" w:cs="Times New Roman"/>
          <w:iCs/>
          <w:sz w:val="24"/>
          <w:szCs w:val="24"/>
        </w:rPr>
        <w:t xml:space="preserve"> naknad</w:t>
      </w:r>
      <w:r w:rsidR="00EE3589" w:rsidRPr="00FA3619">
        <w:rPr>
          <w:rFonts w:ascii="Calibri" w:eastAsia="Times New Roman" w:hAnsi="Calibri" w:cs="Times New Roman"/>
          <w:iCs/>
          <w:sz w:val="24"/>
          <w:szCs w:val="24"/>
        </w:rPr>
        <w:t>e</w:t>
      </w:r>
      <w:r w:rsidR="003442D8" w:rsidRPr="00FA3619">
        <w:rPr>
          <w:rFonts w:ascii="Calibri" w:eastAsia="Times New Roman" w:hAnsi="Calibri" w:cs="Times New Roman"/>
          <w:iCs/>
          <w:sz w:val="24"/>
          <w:szCs w:val="24"/>
        </w:rPr>
        <w:t>, članarine komorama, bankarske usluge, doprinos za šume, slivne vode.</w:t>
      </w:r>
    </w:p>
    <w:p w14:paraId="7EA7711A"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78AAFA5D" w14:textId="3D2F23CF"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  </w:t>
      </w:r>
      <w:r w:rsidR="003442D8" w:rsidRPr="00FA3619">
        <w:rPr>
          <w:rFonts w:ascii="Calibri" w:eastAsia="Times New Roman" w:hAnsi="Calibri" w:cs="Times New Roman"/>
          <w:b/>
          <w:bCs/>
          <w:iCs/>
          <w:sz w:val="24"/>
          <w:szCs w:val="24"/>
        </w:rPr>
        <w:t xml:space="preserve"> Vrijednosno usklađenje </w:t>
      </w:r>
      <w:r w:rsidR="003442D8" w:rsidRPr="00FA3619">
        <w:rPr>
          <w:rFonts w:ascii="Calibri" w:eastAsia="Times New Roman" w:hAnsi="Calibri" w:cs="Times New Roman"/>
          <w:iCs/>
          <w:sz w:val="24"/>
          <w:szCs w:val="24"/>
        </w:rPr>
        <w:t>kratkotrajne imovine obuhvaća usklađivanje vrijednosti potraživanja od kupaca koja su utužena ili za koja je pokrenut postupak ovrhe.</w:t>
      </w:r>
    </w:p>
    <w:p w14:paraId="5253AEC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F65F9C3" w14:textId="7550F28E"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/vi/  </w:t>
      </w:r>
      <w:r w:rsidR="003442D8" w:rsidRPr="00FA3619">
        <w:rPr>
          <w:rFonts w:ascii="Calibri" w:eastAsia="Times New Roman" w:hAnsi="Calibri" w:cs="Times New Roman"/>
          <w:b/>
          <w:bCs/>
          <w:iCs/>
          <w:sz w:val="24"/>
          <w:szCs w:val="24"/>
        </w:rPr>
        <w:t xml:space="preserve">  Ostali poslovni rashodi </w:t>
      </w:r>
      <w:r w:rsidR="003442D8" w:rsidRPr="00FA3619">
        <w:rPr>
          <w:rFonts w:ascii="Calibri" w:eastAsia="Times New Roman" w:hAnsi="Calibri" w:cs="Times New Roman"/>
          <w:iCs/>
          <w:sz w:val="24"/>
          <w:szCs w:val="24"/>
        </w:rPr>
        <w:t>odnose se na neotpisanu vrijednost prodane i rashodovane dugotrajne materijalne imovine i materijala i ostale rashode.</w:t>
      </w:r>
    </w:p>
    <w:p w14:paraId="362BA161" w14:textId="77777777" w:rsidR="00423291" w:rsidRPr="00FA3619" w:rsidRDefault="00423291" w:rsidP="003442D8">
      <w:pPr>
        <w:spacing w:after="0" w:line="240" w:lineRule="auto"/>
        <w:ind w:right="92"/>
        <w:jc w:val="both"/>
        <w:rPr>
          <w:rFonts w:ascii="Calibri" w:eastAsia="Times New Roman" w:hAnsi="Calibri" w:cs="Times New Roman"/>
          <w:b/>
          <w:bCs/>
          <w:iCs/>
          <w:sz w:val="24"/>
          <w:szCs w:val="24"/>
        </w:rPr>
      </w:pPr>
    </w:p>
    <w:p w14:paraId="42DAE3AD" w14:textId="0FC70B87" w:rsidR="003442D8" w:rsidRPr="00FA3619" w:rsidRDefault="003442D8" w:rsidP="003442D8">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Times New Roman"/>
          <w:b/>
          <w:bCs/>
          <w:iCs/>
          <w:sz w:val="24"/>
          <w:szCs w:val="24"/>
        </w:rPr>
        <w:t>1.2.</w:t>
      </w:r>
      <w:r w:rsidR="00E47152" w:rsidRPr="00FA3619">
        <w:rPr>
          <w:rFonts w:ascii="Calibri" w:eastAsia="Times New Roman" w:hAnsi="Calibri" w:cs="Times New Roman"/>
          <w:b/>
          <w:bCs/>
          <w:iCs/>
          <w:sz w:val="24"/>
          <w:szCs w:val="24"/>
        </w:rPr>
        <w:t>2.2</w:t>
      </w:r>
      <w:r w:rsidRPr="00FA3619">
        <w:rPr>
          <w:rFonts w:ascii="Calibri" w:eastAsia="Times New Roman" w:hAnsi="Calibri" w:cs="Times New Roman"/>
          <w:b/>
          <w:bCs/>
          <w:iCs/>
          <w:sz w:val="24"/>
          <w:szCs w:val="24"/>
        </w:rPr>
        <w:t xml:space="preserve">. </w:t>
      </w:r>
      <w:r w:rsidRPr="00FA3619">
        <w:rPr>
          <w:rFonts w:ascii="Calibri" w:eastAsia="Times New Roman" w:hAnsi="Calibri" w:cs="Times New Roman"/>
          <w:b/>
          <w:bCs/>
          <w:iCs/>
          <w:smallCaps/>
          <w:sz w:val="24"/>
          <w:szCs w:val="24"/>
        </w:rPr>
        <w:t>FINANCIJSKI RASHODI</w:t>
      </w:r>
    </w:p>
    <w:p w14:paraId="625D2ABA" w14:textId="77777777" w:rsidR="003442D8" w:rsidRPr="00FA3619" w:rsidRDefault="003442D8" w:rsidP="003442D8">
      <w:pPr>
        <w:spacing w:after="0" w:line="240" w:lineRule="auto"/>
        <w:ind w:right="92"/>
        <w:jc w:val="both"/>
        <w:rPr>
          <w:rFonts w:ascii="Calibri" w:eastAsia="Times New Roman" w:hAnsi="Calibri" w:cs="Times New Roman"/>
          <w:iCs/>
          <w:smallCaps/>
          <w:sz w:val="24"/>
          <w:szCs w:val="24"/>
        </w:rPr>
      </w:pPr>
    </w:p>
    <w:p w14:paraId="2B3D1B55" w14:textId="7D2C8FA9"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Financijske rashode čine zatezne kamate, kamate po kreditima i negativne tečajne razlike</w:t>
      </w:r>
      <w:r w:rsidR="00EE3589" w:rsidRPr="00FA3619">
        <w:rPr>
          <w:rFonts w:ascii="Calibri" w:eastAsia="Times New Roman" w:hAnsi="Calibri" w:cs="Times New Roman"/>
          <w:iCs/>
          <w:sz w:val="24"/>
          <w:szCs w:val="24"/>
        </w:rPr>
        <w:t xml:space="preserve"> (Bilješka </w:t>
      </w:r>
      <w:r w:rsidR="005933CC">
        <w:rPr>
          <w:rFonts w:ascii="Calibri" w:eastAsia="Times New Roman" w:hAnsi="Calibri" w:cs="Times New Roman"/>
          <w:iCs/>
          <w:sz w:val="24"/>
          <w:szCs w:val="24"/>
        </w:rPr>
        <w:t>5</w:t>
      </w:r>
      <w:r w:rsidR="00EE3589" w:rsidRPr="00FA3619">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624E45B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FD5ACB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7350A307" w14:textId="55FD60BA" w:rsidR="003442D8" w:rsidRPr="00292998" w:rsidRDefault="00FE66F8" w:rsidP="000D568F">
      <w:pPr>
        <w:pStyle w:val="ListParagraph"/>
        <w:numPr>
          <w:ilvl w:val="2"/>
          <w:numId w:val="11"/>
        </w:numPr>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REZULTAT POSLOVANJA FINANCIJSKE GODINE I TEKUĆI POREZ NA DOBIT</w:t>
      </w:r>
    </w:p>
    <w:p w14:paraId="778B31C2" w14:textId="77777777" w:rsidR="003442D8" w:rsidRPr="00292998" w:rsidRDefault="003442D8" w:rsidP="003442D8">
      <w:pPr>
        <w:spacing w:after="0" w:line="240" w:lineRule="auto"/>
        <w:ind w:right="92"/>
        <w:jc w:val="both"/>
        <w:rPr>
          <w:rFonts w:ascii="Calibri" w:eastAsia="Times New Roman" w:hAnsi="Calibri" w:cs="Times New Roman"/>
          <w:iCs/>
          <w:sz w:val="24"/>
          <w:szCs w:val="24"/>
        </w:rPr>
      </w:pPr>
    </w:p>
    <w:p w14:paraId="1176C17B" w14:textId="77777777" w:rsidR="00FE66F8" w:rsidRPr="00292998" w:rsidRDefault="00FE66F8" w:rsidP="00FE66F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Iz razlike ukupnih prihoda i ukupnih rashoda proizlazi bruto rezultat, tj. dobit/gubitak prije oporezivanja. </w:t>
      </w:r>
    </w:p>
    <w:p w14:paraId="75059296" w14:textId="09B7D235" w:rsidR="00FE66F8" w:rsidRPr="00FE66F8" w:rsidRDefault="00FE66F8" w:rsidP="00FE66F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Obveza poreza na dobit (tekući porez) utvrđuje se u skladu s važećim odredbama Zakona o porezu na dobit i utječe na rezultat poslovanja financijske godine (Bilješka 6).</w:t>
      </w:r>
    </w:p>
    <w:p w14:paraId="67B15B0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9FDDF6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B71482B" w14:textId="13CDA3D1" w:rsidR="003442D8" w:rsidRPr="00FA3619" w:rsidRDefault="003442D8" w:rsidP="003847B2">
      <w:pPr>
        <w:pStyle w:val="ListParagraph"/>
        <w:numPr>
          <w:ilvl w:val="2"/>
          <w:numId w:val="11"/>
        </w:numPr>
        <w:spacing w:after="0" w:line="240" w:lineRule="auto"/>
        <w:ind w:left="0" w:right="92" w:firstLine="0"/>
        <w:jc w:val="both"/>
        <w:rPr>
          <w:rFonts w:ascii="Calibri" w:eastAsia="Times New Roman" w:hAnsi="Calibri" w:cs="Times New Roman"/>
          <w:iCs/>
          <w:sz w:val="24"/>
          <w:szCs w:val="24"/>
        </w:rPr>
      </w:pPr>
      <w:r w:rsidRPr="00FA3619">
        <w:rPr>
          <w:rFonts w:ascii="Calibri" w:eastAsia="Times New Roman" w:hAnsi="Calibri" w:cs="Times New Roman"/>
          <w:b/>
          <w:bCs/>
          <w:iCs/>
          <w:smallCaps/>
          <w:sz w:val="24"/>
          <w:szCs w:val="24"/>
        </w:rPr>
        <w:t>DUGOTRAJNA MATERIJALNA I NEMATERIJALNA IMOVINA</w:t>
      </w:r>
    </w:p>
    <w:p w14:paraId="03EA5ED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5145CB1A"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Ulaganja u materijalnu i nematerijalnu imovinu tijekom godine evidentiraju se po nabavnoj vrijednosti. Nabavnu vrijednost čini fakturna vrijednost nabavljene imovine uvećana za sve troškove nastale do njezinog stavljanja u uporabu (Bilješka 7).</w:t>
      </w:r>
    </w:p>
    <w:p w14:paraId="7D8D9296" w14:textId="77777777" w:rsidR="003442D8" w:rsidRPr="00FA3619" w:rsidRDefault="003442D8" w:rsidP="003442D8">
      <w:pPr>
        <w:spacing w:after="0" w:line="240" w:lineRule="auto"/>
        <w:ind w:left="900" w:right="92"/>
        <w:jc w:val="center"/>
        <w:rPr>
          <w:rFonts w:ascii="Calibri" w:eastAsia="Times New Roman" w:hAnsi="Calibri" w:cs="Times New Roman"/>
          <w:b/>
          <w:bCs/>
          <w:iCs/>
          <w:sz w:val="20"/>
          <w:szCs w:val="20"/>
        </w:rPr>
      </w:pPr>
    </w:p>
    <w:p w14:paraId="3B3D8525"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Stvari i oprema se evidentiraju kao dugotrajna imovina, ako im je vijek trajanja duži od jedne godine i pojedinačna nabavna cijena veća od 3.500 kn.</w:t>
      </w:r>
    </w:p>
    <w:p w14:paraId="4229B1A3" w14:textId="77777777" w:rsidR="003442D8" w:rsidRPr="00FA3619" w:rsidRDefault="003442D8" w:rsidP="003442D8">
      <w:pPr>
        <w:spacing w:after="0" w:line="240" w:lineRule="auto"/>
        <w:ind w:right="92"/>
        <w:jc w:val="both"/>
        <w:rPr>
          <w:rFonts w:ascii="Calibri" w:eastAsia="Times New Roman" w:hAnsi="Calibri" w:cs="Times New Roman"/>
          <w:b/>
          <w:bCs/>
          <w:iCs/>
          <w:sz w:val="20"/>
          <w:szCs w:val="20"/>
        </w:rPr>
      </w:pPr>
    </w:p>
    <w:p w14:paraId="549081D8"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Neotpisana vrijednost otuđenih i rashodovanih sredstava knjiži se na teret ostalih poslovnih rashoda.</w:t>
      </w:r>
    </w:p>
    <w:p w14:paraId="46D22E2F"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08429E70" w14:textId="2E997498"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lastRenderedPageBreak/>
        <w:t>Troškovi izgradnje dugotrajne imovine u vlastitoj režiji obuhvaćaju vrijednost utrošenog materijala</w:t>
      </w:r>
      <w:r w:rsidRPr="008F425B">
        <w:rPr>
          <w:rFonts w:ascii="Calibri" w:eastAsia="Times New Roman" w:hAnsi="Calibri" w:cs="Times New Roman"/>
          <w:iCs/>
          <w:sz w:val="24"/>
          <w:szCs w:val="24"/>
        </w:rPr>
        <w:t>.</w:t>
      </w:r>
    </w:p>
    <w:p w14:paraId="7EC4EE99" w14:textId="77777777" w:rsidR="003442D8" w:rsidRPr="008F425B" w:rsidRDefault="003442D8" w:rsidP="003442D8">
      <w:pPr>
        <w:spacing w:after="0" w:line="240" w:lineRule="auto"/>
        <w:ind w:right="92"/>
        <w:jc w:val="both"/>
        <w:rPr>
          <w:rFonts w:ascii="Calibri" w:eastAsia="Times New Roman" w:hAnsi="Calibri" w:cs="Times New Roman"/>
          <w:iCs/>
          <w:sz w:val="20"/>
          <w:szCs w:val="20"/>
        </w:rPr>
      </w:pPr>
    </w:p>
    <w:p w14:paraId="64026176" w14:textId="77777777" w:rsidR="003442D8" w:rsidRPr="00FA3619" w:rsidRDefault="003442D8" w:rsidP="003442D8">
      <w:pPr>
        <w:tabs>
          <w:tab w:val="left" w:pos="-180"/>
        </w:tabs>
        <w:spacing w:after="0" w:line="240" w:lineRule="auto"/>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koristi sljedeće stope amortizacije (Bilješka 4.3.):</w:t>
      </w:r>
    </w:p>
    <w:p w14:paraId="24D07815" w14:textId="77777777" w:rsidR="003442D8" w:rsidRPr="00FA3619" w:rsidRDefault="003442D8" w:rsidP="003442D8">
      <w:pPr>
        <w:tabs>
          <w:tab w:val="left" w:pos="-180"/>
        </w:tabs>
        <w:spacing w:after="0" w:line="240" w:lineRule="auto"/>
        <w:jc w:val="both"/>
        <w:rPr>
          <w:rFonts w:ascii="Calibri" w:eastAsia="Times New Roman" w:hAnsi="Calibri" w:cs="Times New Roman"/>
          <w:iCs/>
          <w:sz w:val="10"/>
          <w:szCs w:val="10"/>
        </w:rPr>
      </w:pPr>
    </w:p>
    <w:bookmarkStart w:id="0" w:name="_MON_1395749996"/>
    <w:bookmarkStart w:id="1" w:name="_MON_1395750070"/>
    <w:bookmarkStart w:id="2" w:name="_MON_1395750423"/>
    <w:bookmarkStart w:id="3" w:name="_MON_1395750453"/>
    <w:bookmarkStart w:id="4" w:name="_MON_1395750458"/>
    <w:bookmarkStart w:id="5" w:name="_MON_1395754293"/>
    <w:bookmarkStart w:id="6" w:name="_MON_1395754329"/>
    <w:bookmarkStart w:id="7" w:name="_MON_1395754457"/>
    <w:bookmarkStart w:id="8" w:name="_MON_1395816806"/>
    <w:bookmarkEnd w:id="0"/>
    <w:bookmarkEnd w:id="1"/>
    <w:bookmarkEnd w:id="2"/>
    <w:bookmarkEnd w:id="3"/>
    <w:bookmarkEnd w:id="4"/>
    <w:bookmarkEnd w:id="5"/>
    <w:bookmarkEnd w:id="6"/>
    <w:bookmarkEnd w:id="7"/>
    <w:bookmarkEnd w:id="8"/>
    <w:bookmarkStart w:id="9" w:name="_MON_1395833668"/>
    <w:bookmarkEnd w:id="9"/>
    <w:p w14:paraId="6C9B803D" w14:textId="1565A7DF" w:rsidR="003442D8" w:rsidRPr="00FA3619" w:rsidRDefault="00D90CF2"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object w:dxaOrig="8913" w:dyaOrig="2482" w14:anchorId="36124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24.5pt" o:ole="">
            <v:imagedata r:id="rId9" o:title=""/>
          </v:shape>
          <o:OLEObject Type="Embed" ProgID="Excel.Sheet.8" ShapeID="_x0000_i1025" DrawAspect="Content" ObjectID="_1684915218" r:id="rId10"/>
        </w:object>
      </w:r>
    </w:p>
    <w:p w14:paraId="2493905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4C15D7FD"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okviru dugotrajne imovine iskazuju se dani predujmovi za materijalnu imovinu. (Bilješka 8).</w:t>
      </w:r>
    </w:p>
    <w:p w14:paraId="7D0BD215" w14:textId="3264A37E" w:rsidR="00423291" w:rsidRDefault="00423291" w:rsidP="003442D8">
      <w:pPr>
        <w:spacing w:after="0" w:line="240" w:lineRule="auto"/>
        <w:ind w:right="92"/>
        <w:jc w:val="both"/>
        <w:rPr>
          <w:rFonts w:ascii="Calibri" w:eastAsia="Times New Roman" w:hAnsi="Calibri" w:cs="Times New Roman"/>
          <w:b/>
          <w:bCs/>
          <w:iCs/>
          <w:sz w:val="24"/>
          <w:szCs w:val="24"/>
        </w:rPr>
      </w:pPr>
    </w:p>
    <w:p w14:paraId="59E0E20D" w14:textId="77777777" w:rsidR="00EE3589" w:rsidRPr="008F425B" w:rsidRDefault="00EE3589" w:rsidP="003442D8">
      <w:pPr>
        <w:spacing w:after="0" w:line="240" w:lineRule="auto"/>
        <w:ind w:right="92"/>
        <w:jc w:val="both"/>
        <w:rPr>
          <w:rFonts w:ascii="Calibri" w:eastAsia="Times New Roman" w:hAnsi="Calibri" w:cs="Times New Roman"/>
          <w:b/>
          <w:bCs/>
          <w:iCs/>
          <w:sz w:val="24"/>
          <w:szCs w:val="24"/>
        </w:rPr>
      </w:pPr>
    </w:p>
    <w:p w14:paraId="396A3624" w14:textId="28AF68A2" w:rsidR="00EE3589" w:rsidRPr="003847B2" w:rsidRDefault="00EE3589" w:rsidP="003847B2">
      <w:pPr>
        <w:pStyle w:val="ListParagraph"/>
        <w:numPr>
          <w:ilvl w:val="2"/>
          <w:numId w:val="11"/>
        </w:numPr>
        <w:spacing w:after="0" w:line="240" w:lineRule="auto"/>
        <w:ind w:left="0" w:right="92" w:firstLine="0"/>
        <w:jc w:val="both"/>
        <w:rPr>
          <w:rFonts w:ascii="Calibri" w:eastAsia="Times New Roman" w:hAnsi="Calibri" w:cs="Times New Roman"/>
          <w:b/>
          <w:bCs/>
          <w:iCs/>
          <w:smallCaps/>
          <w:sz w:val="24"/>
          <w:szCs w:val="24"/>
        </w:rPr>
      </w:pPr>
      <w:bookmarkStart w:id="10" w:name="_Hlk72996629"/>
      <w:r w:rsidRPr="003847B2">
        <w:rPr>
          <w:rFonts w:ascii="Calibri" w:eastAsia="Times New Roman" w:hAnsi="Calibri" w:cs="Times New Roman"/>
          <w:b/>
          <w:bCs/>
          <w:iCs/>
          <w:smallCaps/>
          <w:sz w:val="24"/>
          <w:szCs w:val="24"/>
        </w:rPr>
        <w:t>DUGOTRAJNA FINANCIJSKA IMOVINA</w:t>
      </w:r>
    </w:p>
    <w:p w14:paraId="3AABC76A" w14:textId="77777777" w:rsidR="00EE3589" w:rsidRPr="006F6EFB" w:rsidRDefault="00EE3589" w:rsidP="00EE3589">
      <w:pPr>
        <w:spacing w:after="0" w:line="240" w:lineRule="auto"/>
        <w:ind w:right="92"/>
        <w:jc w:val="both"/>
        <w:rPr>
          <w:rFonts w:ascii="Calibri" w:eastAsia="Times New Roman" w:hAnsi="Calibri" w:cs="Times New Roman"/>
          <w:b/>
          <w:bCs/>
          <w:iCs/>
          <w:sz w:val="24"/>
          <w:szCs w:val="24"/>
        </w:rPr>
      </w:pPr>
    </w:p>
    <w:p w14:paraId="6B0DFA28" w14:textId="46EB0103" w:rsidR="00EE3589" w:rsidRPr="006F6EFB" w:rsidRDefault="00EE3589" w:rsidP="00EE3589">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Financijska imovina obuhvaća dionice i udjele, dane zajmove, sudjelujuće interese, ulaganja u vrijednosne papire, dane zajmove, depozite te ostalu financijsku imovinu. Priznavanje, mjerenje i prestanak priznavanja obavlja se u skladu s odredbama HSFI 9.</w:t>
      </w:r>
    </w:p>
    <w:p w14:paraId="49877347" w14:textId="641F03AB" w:rsidR="0088170F" w:rsidRPr="00EE3589" w:rsidRDefault="00EE3589" w:rsidP="00EE3589">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Dugotrajnu financijsku imovinu čini nominalni iznos poslovnog udjela u društvu Ponikve usluga d.o.o. koji su članovi tog društva prenijeli na Ponikve voda d.o.o. bez naknade (Bilješka </w:t>
      </w:r>
      <w:r w:rsidR="005933CC">
        <w:rPr>
          <w:rFonts w:ascii="Calibri" w:eastAsia="Times New Roman" w:hAnsi="Calibri" w:cs="Times New Roman"/>
          <w:iCs/>
          <w:sz w:val="24"/>
          <w:szCs w:val="24"/>
        </w:rPr>
        <w:t>9</w:t>
      </w:r>
      <w:r w:rsidRPr="006F6EFB">
        <w:rPr>
          <w:rFonts w:ascii="Calibri" w:eastAsia="Times New Roman" w:hAnsi="Calibri" w:cs="Times New Roman"/>
          <w:iCs/>
          <w:sz w:val="24"/>
          <w:szCs w:val="24"/>
        </w:rPr>
        <w:t>).</w:t>
      </w:r>
    </w:p>
    <w:p w14:paraId="591A8464" w14:textId="6955E032" w:rsidR="00EE3589" w:rsidRDefault="00EE3589" w:rsidP="00EE3589">
      <w:pPr>
        <w:spacing w:after="0" w:line="240" w:lineRule="auto"/>
        <w:ind w:right="92"/>
        <w:jc w:val="both"/>
        <w:rPr>
          <w:rFonts w:ascii="Calibri" w:eastAsia="Times New Roman" w:hAnsi="Calibri" w:cs="Times New Roman"/>
          <w:b/>
          <w:bCs/>
          <w:iCs/>
          <w:sz w:val="24"/>
          <w:szCs w:val="24"/>
        </w:rPr>
      </w:pPr>
    </w:p>
    <w:bookmarkEnd w:id="10"/>
    <w:p w14:paraId="1E86BF46" w14:textId="77777777" w:rsidR="00EE3589" w:rsidRPr="008F425B" w:rsidRDefault="00EE3589" w:rsidP="00EE3589">
      <w:pPr>
        <w:spacing w:after="0" w:line="240" w:lineRule="auto"/>
        <w:ind w:right="92"/>
        <w:jc w:val="both"/>
        <w:rPr>
          <w:rFonts w:ascii="Calibri" w:eastAsia="Times New Roman" w:hAnsi="Calibri" w:cs="Times New Roman"/>
          <w:b/>
          <w:bCs/>
          <w:iCs/>
          <w:sz w:val="24"/>
          <w:szCs w:val="24"/>
        </w:rPr>
      </w:pPr>
    </w:p>
    <w:p w14:paraId="6C5E4A2D" w14:textId="5370735C" w:rsidR="003442D8" w:rsidRPr="003847B2" w:rsidRDefault="003442D8" w:rsidP="003847B2">
      <w:pPr>
        <w:pStyle w:val="ListParagraph"/>
        <w:numPr>
          <w:ilvl w:val="2"/>
          <w:numId w:val="11"/>
        </w:numPr>
        <w:spacing w:after="0" w:line="240" w:lineRule="auto"/>
        <w:ind w:left="0" w:right="92" w:firstLine="0"/>
        <w:jc w:val="both"/>
        <w:rPr>
          <w:rFonts w:ascii="Calibri" w:eastAsia="Times New Roman" w:hAnsi="Calibri" w:cs="Times New Roman"/>
          <w:b/>
          <w:bCs/>
          <w:iCs/>
          <w:smallCaps/>
          <w:sz w:val="24"/>
          <w:szCs w:val="24"/>
        </w:rPr>
      </w:pPr>
      <w:r w:rsidRPr="00FA3619">
        <w:rPr>
          <w:rFonts w:ascii="Calibri" w:eastAsia="Times New Roman" w:hAnsi="Calibri" w:cs="Times New Roman"/>
          <w:b/>
          <w:bCs/>
          <w:iCs/>
          <w:smallCaps/>
          <w:sz w:val="24"/>
          <w:szCs w:val="24"/>
        </w:rPr>
        <w:t>ZALIHE</w:t>
      </w:r>
    </w:p>
    <w:p w14:paraId="785082F3"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43BCA5FA"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Zalihe vodovodnog materijala koji se koristi za tekuće, investicijsko održavanje i investicije u vlastitoj režiji, iskazuju se po stvarnim nabavnim cijenama materijala. Utrošak materijala obavlja se primjenom metode prosječne nabavne cijene.</w:t>
      </w:r>
    </w:p>
    <w:p w14:paraId="373851D8"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06A8A623"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Sitan inventar, alat i auto</w:t>
      </w:r>
      <w:r w:rsidR="00523010"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gume, otpisuju se u cijelosti kod stavljanja u uporabu.</w:t>
      </w:r>
    </w:p>
    <w:p w14:paraId="0EFA37F4" w14:textId="353B26E9"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9507DCE" w14:textId="77777777" w:rsidR="00FA3619" w:rsidRPr="00FA3619" w:rsidRDefault="00FA3619" w:rsidP="003442D8">
      <w:pPr>
        <w:spacing w:after="0" w:line="240" w:lineRule="auto"/>
        <w:ind w:right="92"/>
        <w:jc w:val="both"/>
        <w:rPr>
          <w:rFonts w:ascii="Calibri" w:eastAsia="Times New Roman" w:hAnsi="Calibri" w:cs="Times New Roman"/>
          <w:iCs/>
          <w:sz w:val="24"/>
          <w:szCs w:val="24"/>
        </w:rPr>
      </w:pPr>
    </w:p>
    <w:p w14:paraId="304137B3" w14:textId="7D3E4EA5" w:rsidR="003442D8" w:rsidRPr="00292998" w:rsidRDefault="003442D8" w:rsidP="003847B2">
      <w:pPr>
        <w:pStyle w:val="ListParagraph"/>
        <w:numPr>
          <w:ilvl w:val="2"/>
          <w:numId w:val="11"/>
        </w:numPr>
        <w:spacing w:after="0" w:line="240" w:lineRule="auto"/>
        <w:ind w:left="0" w:right="92" w:firstLine="0"/>
        <w:jc w:val="both"/>
        <w:rPr>
          <w:rFonts w:ascii="Calibri" w:eastAsia="Times New Roman" w:hAnsi="Calibri" w:cs="Times New Roman"/>
          <w:b/>
          <w:bCs/>
          <w:iCs/>
          <w:smallCaps/>
          <w:sz w:val="24"/>
          <w:szCs w:val="24"/>
        </w:rPr>
      </w:pPr>
      <w:r w:rsidRPr="00292998">
        <w:rPr>
          <w:rFonts w:ascii="Calibri" w:eastAsia="Times New Roman" w:hAnsi="Calibri" w:cs="Times New Roman"/>
          <w:b/>
          <w:bCs/>
          <w:iCs/>
          <w:smallCaps/>
          <w:sz w:val="24"/>
          <w:szCs w:val="24"/>
        </w:rPr>
        <w:t xml:space="preserve">POTRAŽIVANJA </w:t>
      </w:r>
    </w:p>
    <w:p w14:paraId="5102A05F" w14:textId="77777777" w:rsidR="003442D8" w:rsidRPr="00292998" w:rsidRDefault="003442D8" w:rsidP="003442D8">
      <w:pPr>
        <w:spacing w:after="0" w:line="240" w:lineRule="auto"/>
        <w:ind w:right="92"/>
        <w:jc w:val="both"/>
        <w:rPr>
          <w:rFonts w:ascii="Calibri" w:eastAsia="Times New Roman" w:hAnsi="Calibri" w:cs="Times New Roman"/>
          <w:b/>
          <w:bCs/>
          <w:iCs/>
          <w:sz w:val="20"/>
          <w:szCs w:val="20"/>
        </w:rPr>
      </w:pPr>
    </w:p>
    <w:p w14:paraId="2158F753" w14:textId="77777777" w:rsidR="00D90CF2" w:rsidRPr="00292998" w:rsidRDefault="00D90CF2" w:rsidP="00D90CF2">
      <w:pPr>
        <w:tabs>
          <w:tab w:val="left" w:pos="709"/>
          <w:tab w:val="left" w:pos="5103"/>
        </w:tabs>
        <w:spacing w:after="0" w:line="240" w:lineRule="auto"/>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od kupaca, potraživanje od države i ostala potraživanja iskazuju se u poslovnim knjigama na temelju uredne isprave o nastanku poslovnog događaja i podataka o njegovoj vrijednosti, u skladu s odredbama Hrvatskih standarda financijskog izvještavanja</w:t>
      </w:r>
    </w:p>
    <w:p w14:paraId="649AF93C" w14:textId="77777777" w:rsidR="00D90CF2" w:rsidRPr="00292998" w:rsidRDefault="00D90CF2" w:rsidP="003442D8">
      <w:pPr>
        <w:spacing w:after="0" w:line="240" w:lineRule="auto"/>
        <w:ind w:right="92"/>
        <w:jc w:val="both"/>
        <w:rPr>
          <w:rFonts w:ascii="Calibri" w:eastAsia="Times New Roman" w:hAnsi="Calibri" w:cs="Times New Roman"/>
          <w:iCs/>
          <w:sz w:val="24"/>
          <w:szCs w:val="24"/>
        </w:rPr>
      </w:pPr>
    </w:p>
    <w:p w14:paraId="6CCF4E40" w14:textId="285869C9"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od kupaca (Bilješka 1</w:t>
      </w:r>
      <w:r w:rsidR="005933CC" w:rsidRPr="00292998">
        <w:rPr>
          <w:rFonts w:ascii="Calibri" w:eastAsia="Times New Roman" w:hAnsi="Calibri" w:cs="Times New Roman"/>
          <w:iCs/>
          <w:sz w:val="24"/>
          <w:szCs w:val="24"/>
        </w:rPr>
        <w:t>1</w:t>
      </w:r>
      <w:r w:rsidRPr="00292998">
        <w:rPr>
          <w:rFonts w:ascii="Calibri" w:eastAsia="Times New Roman" w:hAnsi="Calibri" w:cs="Times New Roman"/>
          <w:iCs/>
          <w:sz w:val="24"/>
          <w:szCs w:val="24"/>
        </w:rPr>
        <w:t>.) obuhvaćaju sva potraživanja za isporučenu vodu i izvršene usluge (odvodnja otpadnih voda, pražnjenje septičkih jama</w:t>
      </w:r>
      <w:r w:rsidR="00523010" w:rsidRPr="00292998">
        <w:rPr>
          <w:rFonts w:ascii="Calibri" w:eastAsia="Times New Roman" w:hAnsi="Calibri" w:cs="Times New Roman"/>
          <w:iCs/>
          <w:sz w:val="24"/>
          <w:szCs w:val="24"/>
        </w:rPr>
        <w:t xml:space="preserve"> i druge usluge</w:t>
      </w:r>
      <w:r w:rsidRPr="00292998">
        <w:rPr>
          <w:rFonts w:ascii="Calibri" w:eastAsia="Times New Roman" w:hAnsi="Calibri" w:cs="Times New Roman"/>
          <w:iCs/>
          <w:sz w:val="24"/>
          <w:szCs w:val="24"/>
        </w:rPr>
        <w:t>).</w:t>
      </w:r>
    </w:p>
    <w:p w14:paraId="06EF7210" w14:textId="77777777" w:rsidR="00AD0D10" w:rsidRDefault="00AD0D10" w:rsidP="003442D8">
      <w:pPr>
        <w:spacing w:after="0" w:line="240" w:lineRule="auto"/>
        <w:ind w:right="92"/>
        <w:jc w:val="both"/>
        <w:rPr>
          <w:rFonts w:ascii="Calibri" w:eastAsia="Times New Roman" w:hAnsi="Calibri" w:cs="Times New Roman"/>
          <w:iCs/>
          <w:sz w:val="24"/>
          <w:szCs w:val="24"/>
          <w:highlight w:val="cyan"/>
        </w:rPr>
      </w:pPr>
    </w:p>
    <w:p w14:paraId="67F9E31C" w14:textId="11A520FE"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Saldo potraživanja sadrži također:</w:t>
      </w:r>
    </w:p>
    <w:p w14:paraId="788A9EBB" w14:textId="6B9A5F12" w:rsidR="003442D8" w:rsidRPr="00292998" w:rsidRDefault="003442D8" w:rsidP="00F8554F">
      <w:pPr>
        <w:numPr>
          <w:ilvl w:val="0"/>
          <w:numId w:val="2"/>
        </w:numPr>
        <w:spacing w:after="0" w:line="240" w:lineRule="auto"/>
        <w:ind w:right="92" w:hanging="480"/>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za obračunatu naknadu za Hrvatske vode Zagreb (zaštita i korištenje voda)</w:t>
      </w:r>
      <w:r w:rsidR="00080871" w:rsidRPr="00292998">
        <w:rPr>
          <w:rFonts w:ascii="Calibri" w:eastAsia="Times New Roman" w:hAnsi="Calibri" w:cs="Times New Roman"/>
          <w:iCs/>
          <w:sz w:val="24"/>
          <w:szCs w:val="24"/>
        </w:rPr>
        <w:t>,</w:t>
      </w:r>
    </w:p>
    <w:p w14:paraId="78F86BE8" w14:textId="77777777" w:rsidR="003442D8" w:rsidRPr="00292998" w:rsidRDefault="003442D8" w:rsidP="00F8554F">
      <w:pPr>
        <w:numPr>
          <w:ilvl w:val="0"/>
          <w:numId w:val="2"/>
        </w:numPr>
        <w:spacing w:after="0" w:line="240" w:lineRule="auto"/>
        <w:ind w:right="92" w:hanging="480"/>
        <w:jc w:val="both"/>
        <w:rPr>
          <w:rFonts w:ascii="Calibri" w:eastAsia="Times New Roman" w:hAnsi="Calibri" w:cs="Times New Roman"/>
          <w:iCs/>
          <w:sz w:val="24"/>
          <w:szCs w:val="24"/>
        </w:rPr>
      </w:pPr>
      <w:r w:rsidRPr="00292998">
        <w:rPr>
          <w:rFonts w:ascii="Calibri" w:eastAsia="Times New Roman" w:hAnsi="Calibri" w:cs="Times New Roman"/>
          <w:iCs/>
          <w:sz w:val="24"/>
          <w:szCs w:val="24"/>
        </w:rPr>
        <w:lastRenderedPageBreak/>
        <w:t xml:space="preserve">potraživanja za naknadu za razvoj koja je prihod društva i koju snosi krajnji potrošač, a koristi se za financiranje vodnih građevina (izgradnju vodovoda, kanalizacijskih kolektora i uređaja za pročišćavanje voda) sukladno odlukama jedinica lokalne samouprave. Naknada za razvoj obračunava se od 01. lipnja 2010. godine. </w:t>
      </w:r>
    </w:p>
    <w:p w14:paraId="6D50ACC6" w14:textId="77777777" w:rsidR="003442D8" w:rsidRPr="00292998" w:rsidRDefault="003442D8" w:rsidP="003442D8">
      <w:pPr>
        <w:spacing w:after="0" w:line="240" w:lineRule="auto"/>
        <w:ind w:left="720" w:right="92"/>
        <w:jc w:val="both"/>
        <w:rPr>
          <w:rFonts w:ascii="Calibri" w:eastAsia="Times New Roman" w:hAnsi="Calibri" w:cs="Times New Roman"/>
          <w:iCs/>
          <w:color w:val="FF0000"/>
          <w:sz w:val="20"/>
          <w:szCs w:val="20"/>
        </w:rPr>
      </w:pPr>
    </w:p>
    <w:p w14:paraId="4B010DC2" w14:textId="655F8642"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Društvo je iskazalo u poslovnim knjigama obvezu prema Hrvatskim vodama za dio koji njima pripada (Bilješka 2</w:t>
      </w:r>
      <w:r w:rsidR="005933CC" w:rsidRPr="00292998">
        <w:rPr>
          <w:rFonts w:ascii="Calibri" w:eastAsia="Times New Roman" w:hAnsi="Calibri" w:cs="Times New Roman"/>
          <w:iCs/>
          <w:sz w:val="24"/>
          <w:szCs w:val="24"/>
        </w:rPr>
        <w:t>3</w:t>
      </w:r>
      <w:r w:rsidRPr="00292998">
        <w:rPr>
          <w:rFonts w:ascii="Calibri" w:eastAsia="Times New Roman" w:hAnsi="Calibri" w:cs="Times New Roman"/>
          <w:iCs/>
          <w:sz w:val="24"/>
          <w:szCs w:val="24"/>
        </w:rPr>
        <w:t>.) i odgođeni prihod za naknadu za razvoj (Bilješka 2</w:t>
      </w:r>
      <w:r w:rsidR="005933CC" w:rsidRPr="00292998">
        <w:rPr>
          <w:rFonts w:ascii="Calibri" w:eastAsia="Times New Roman" w:hAnsi="Calibri" w:cs="Times New Roman"/>
          <w:iCs/>
          <w:sz w:val="24"/>
          <w:szCs w:val="24"/>
        </w:rPr>
        <w:t>4</w:t>
      </w:r>
      <w:r w:rsidRPr="00292998">
        <w:rPr>
          <w:rFonts w:ascii="Calibri" w:eastAsia="Times New Roman" w:hAnsi="Calibri" w:cs="Times New Roman"/>
          <w:iCs/>
          <w:sz w:val="24"/>
          <w:szCs w:val="24"/>
        </w:rPr>
        <w:t>. b)).</w:t>
      </w:r>
    </w:p>
    <w:p w14:paraId="02799FA0" w14:textId="77777777" w:rsidR="003442D8" w:rsidRPr="00292998" w:rsidRDefault="003442D8" w:rsidP="003442D8">
      <w:pPr>
        <w:spacing w:after="0" w:line="240" w:lineRule="auto"/>
        <w:ind w:left="900" w:right="92"/>
        <w:jc w:val="both"/>
        <w:rPr>
          <w:rFonts w:ascii="Calibri" w:eastAsia="Times New Roman" w:hAnsi="Calibri" w:cs="Times New Roman"/>
          <w:iCs/>
          <w:sz w:val="20"/>
          <w:szCs w:val="20"/>
        </w:rPr>
      </w:pPr>
    </w:p>
    <w:p w14:paraId="0EED6FEE"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Usklađenje vrijednosti potraživanja obavlja se temeljem saznanja da potraživanje nije u roku naplaćeno, odnosno da su nastale okolnosti neizvjesnosti naplate i da je utuženo, prijavljeno u stečajnu masu ili u predstečajnu nagodbu i u slučaju kada je nenaplativo.</w:t>
      </w:r>
      <w:r w:rsidRPr="008F425B">
        <w:rPr>
          <w:rFonts w:ascii="Calibri" w:eastAsia="Times New Roman" w:hAnsi="Calibri" w:cs="Times New Roman"/>
          <w:iCs/>
          <w:sz w:val="24"/>
          <w:szCs w:val="24"/>
        </w:rPr>
        <w:t xml:space="preserve"> </w:t>
      </w:r>
    </w:p>
    <w:p w14:paraId="45EBB6C9"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58E674CC" w14:textId="6770F8E1" w:rsidR="003442D8" w:rsidRPr="003847B2" w:rsidRDefault="003442D8" w:rsidP="003847B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iCs/>
          <w:sz w:val="24"/>
          <w:szCs w:val="24"/>
        </w:rPr>
      </w:pPr>
      <w:r w:rsidRPr="003847B2">
        <w:rPr>
          <w:rFonts w:ascii="Calibri" w:eastAsia="Times New Roman" w:hAnsi="Calibri" w:cs="Times New Roman"/>
          <w:b/>
          <w:bCs/>
          <w:iCs/>
          <w:sz w:val="24"/>
          <w:szCs w:val="24"/>
        </w:rPr>
        <w:t>KRATKOTRAJNA FINANCIJSKA IMOVINA</w:t>
      </w:r>
      <w:r w:rsidRPr="003847B2">
        <w:rPr>
          <w:rFonts w:ascii="Calibri" w:eastAsia="Times New Roman" w:hAnsi="Calibri" w:cs="Times New Roman"/>
          <w:iCs/>
          <w:sz w:val="24"/>
          <w:szCs w:val="24"/>
        </w:rPr>
        <w:t xml:space="preserve"> odnosi se na novčana sredstva na izdvojenom računu u Hrvatskim vodama (Bilješka 1</w:t>
      </w:r>
      <w:r w:rsidR="00DF4D35" w:rsidRPr="003847B2">
        <w:rPr>
          <w:rFonts w:ascii="Calibri" w:eastAsia="Times New Roman" w:hAnsi="Calibri" w:cs="Times New Roman"/>
          <w:iCs/>
          <w:sz w:val="24"/>
          <w:szCs w:val="24"/>
        </w:rPr>
        <w:t>4</w:t>
      </w:r>
      <w:r w:rsidRPr="003847B2">
        <w:rPr>
          <w:rFonts w:ascii="Calibri" w:eastAsia="Times New Roman" w:hAnsi="Calibri" w:cs="Times New Roman"/>
          <w:iCs/>
          <w:sz w:val="24"/>
          <w:szCs w:val="24"/>
        </w:rPr>
        <w:t>).</w:t>
      </w:r>
    </w:p>
    <w:p w14:paraId="1AD60729" w14:textId="77777777" w:rsidR="001F6422" w:rsidRPr="003847B2" w:rsidRDefault="001F6422" w:rsidP="001F6422">
      <w:pPr>
        <w:pStyle w:val="ListParagraph"/>
        <w:ind w:left="0"/>
        <w:rPr>
          <w:rFonts w:ascii="Calibri" w:eastAsia="Times New Roman" w:hAnsi="Calibri" w:cs="Times New Roman"/>
          <w:b/>
          <w:iCs/>
          <w:sz w:val="24"/>
          <w:szCs w:val="24"/>
        </w:rPr>
      </w:pPr>
    </w:p>
    <w:p w14:paraId="034E0545" w14:textId="7DA23353" w:rsidR="003442D8" w:rsidRPr="003847B2" w:rsidRDefault="003442D8" w:rsidP="003847B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iCs/>
          <w:sz w:val="24"/>
          <w:szCs w:val="24"/>
        </w:rPr>
      </w:pPr>
      <w:r w:rsidRPr="003847B2">
        <w:rPr>
          <w:rFonts w:ascii="Calibri" w:eastAsia="Times New Roman" w:hAnsi="Calibri" w:cs="Times New Roman"/>
          <w:b/>
          <w:bCs/>
          <w:iCs/>
          <w:sz w:val="24"/>
          <w:szCs w:val="24"/>
        </w:rPr>
        <w:t xml:space="preserve">NOVAC U BANCI </w:t>
      </w:r>
    </w:p>
    <w:p w14:paraId="632CE1C2" w14:textId="77777777" w:rsidR="003442D8" w:rsidRPr="008F425B" w:rsidRDefault="003442D8" w:rsidP="003442D8">
      <w:pPr>
        <w:spacing w:after="0" w:line="240" w:lineRule="auto"/>
        <w:ind w:right="92"/>
        <w:jc w:val="both"/>
        <w:rPr>
          <w:rFonts w:ascii="Calibri" w:eastAsia="Times New Roman" w:hAnsi="Calibri" w:cs="Times New Roman"/>
          <w:iCs/>
          <w:sz w:val="20"/>
          <w:szCs w:val="20"/>
        </w:rPr>
      </w:pPr>
    </w:p>
    <w:p w14:paraId="4BDDCA70" w14:textId="3DA5338D" w:rsidR="003442D8"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Imovina u obliku novca iskazuje se u nominalnoj vrijednosti izraženoj hrvatskom valutnom jedinicom (HRK), a predstavljaju sredstva na kunskim računima (Bilješka 1</w:t>
      </w:r>
      <w:r w:rsidR="00DF4D35">
        <w:rPr>
          <w:rFonts w:ascii="Calibri" w:eastAsia="Times New Roman" w:hAnsi="Calibri" w:cs="Times New Roman"/>
          <w:iCs/>
          <w:sz w:val="24"/>
          <w:szCs w:val="24"/>
        </w:rPr>
        <w:t>5</w:t>
      </w:r>
      <w:r w:rsidRPr="008F425B">
        <w:rPr>
          <w:rFonts w:ascii="Calibri" w:eastAsia="Times New Roman" w:hAnsi="Calibri" w:cs="Times New Roman"/>
          <w:iCs/>
          <w:sz w:val="24"/>
          <w:szCs w:val="24"/>
        </w:rPr>
        <w:t>).</w:t>
      </w:r>
    </w:p>
    <w:p w14:paraId="05B78A4F" w14:textId="1FDD725C" w:rsidR="003847B2" w:rsidRDefault="003847B2" w:rsidP="003442D8">
      <w:pPr>
        <w:spacing w:after="0" w:line="240" w:lineRule="auto"/>
        <w:ind w:right="92"/>
        <w:jc w:val="both"/>
        <w:rPr>
          <w:rFonts w:ascii="Calibri" w:eastAsia="Times New Roman" w:hAnsi="Calibri" w:cs="Times New Roman"/>
          <w:iCs/>
          <w:sz w:val="24"/>
          <w:szCs w:val="24"/>
        </w:rPr>
      </w:pPr>
    </w:p>
    <w:p w14:paraId="47BF483D" w14:textId="08582D5F" w:rsidR="003442D8" w:rsidRPr="00292998"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iCs/>
          <w:sz w:val="24"/>
          <w:szCs w:val="24"/>
        </w:rPr>
      </w:pPr>
      <w:r w:rsidRPr="00292998">
        <w:rPr>
          <w:rFonts w:ascii="Calibri" w:eastAsia="Times New Roman" w:hAnsi="Calibri" w:cs="Times New Roman"/>
          <w:b/>
          <w:bCs/>
          <w:iCs/>
          <w:sz w:val="24"/>
          <w:szCs w:val="24"/>
        </w:rPr>
        <w:t>KAPITAL I REZERVE</w:t>
      </w:r>
    </w:p>
    <w:p w14:paraId="1043282D" w14:textId="77777777" w:rsidR="003442D8" w:rsidRPr="00292998" w:rsidRDefault="003442D8" w:rsidP="003442D8">
      <w:pPr>
        <w:spacing w:after="0" w:line="240" w:lineRule="auto"/>
        <w:ind w:right="92"/>
        <w:jc w:val="both"/>
        <w:rPr>
          <w:rFonts w:ascii="Calibri" w:eastAsia="Times New Roman" w:hAnsi="Calibri" w:cs="Times New Roman"/>
          <w:b/>
          <w:bCs/>
          <w:iCs/>
          <w:sz w:val="24"/>
          <w:szCs w:val="24"/>
        </w:rPr>
      </w:pPr>
    </w:p>
    <w:p w14:paraId="1E457083" w14:textId="77777777" w:rsidR="00D90CF2" w:rsidRPr="00292998" w:rsidRDefault="00D90CF2" w:rsidP="00D90CF2">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Kapital je vlastiti izvor financiranja imovine, i izračunava se temeljem odredbi Hrvatskih standarda financijskog izvještavanja kao ostatak imovine nakon odbitka svih obveza</w:t>
      </w:r>
    </w:p>
    <w:p w14:paraId="1DB00E1C" w14:textId="59CD8B5F" w:rsidR="00D90CF2" w:rsidRPr="00292998" w:rsidRDefault="00D90CF2" w:rsidP="00D90CF2">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Ukupan kapital Društva čine upisani kapital, kapitalne rezerve, ostale rezerve, zadržana dobit i dobit/gubitak tekuće godine (Bilješka 16).</w:t>
      </w:r>
    </w:p>
    <w:p w14:paraId="5CBD9688" w14:textId="7F05D457" w:rsidR="00D90CF2" w:rsidRPr="00292998" w:rsidRDefault="00D90CF2" w:rsidP="00D90CF2">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Iznos upisanog kapitala iskazan je u kunama i upisan je u sudski registar. </w:t>
      </w:r>
    </w:p>
    <w:p w14:paraId="182D55E8" w14:textId="7044D7AA" w:rsidR="00D90CF2" w:rsidRPr="00292998" w:rsidRDefault="00D90CF2" w:rsidP="00D90CF2">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Politika rezervi ostvaruje se zavisno od temelja njihova oblikovanja i politike Društva</w:t>
      </w:r>
    </w:p>
    <w:p w14:paraId="79468B39" w14:textId="77777777" w:rsidR="001F6422" w:rsidRPr="00292998" w:rsidRDefault="001F6422" w:rsidP="003442D8">
      <w:pPr>
        <w:spacing w:after="0" w:line="240" w:lineRule="auto"/>
        <w:ind w:right="92"/>
        <w:jc w:val="both"/>
        <w:rPr>
          <w:rFonts w:ascii="Calibri" w:eastAsia="Times New Roman" w:hAnsi="Calibri" w:cs="Times New Roman"/>
          <w:iCs/>
          <w:sz w:val="24"/>
          <w:szCs w:val="24"/>
        </w:rPr>
      </w:pPr>
    </w:p>
    <w:p w14:paraId="6BAE7A23" w14:textId="0CE2F4B5" w:rsidR="003442D8" w:rsidRPr="00292998"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iCs/>
          <w:sz w:val="24"/>
          <w:szCs w:val="24"/>
        </w:rPr>
      </w:pPr>
      <w:r w:rsidRPr="00292998">
        <w:rPr>
          <w:rFonts w:ascii="Calibri" w:eastAsia="Times New Roman" w:hAnsi="Calibri" w:cs="Times New Roman"/>
          <w:b/>
          <w:bCs/>
          <w:iCs/>
          <w:sz w:val="24"/>
          <w:szCs w:val="24"/>
        </w:rPr>
        <w:t>DUGOROČNE OBVEZE</w:t>
      </w:r>
    </w:p>
    <w:p w14:paraId="1F908B13" w14:textId="77777777" w:rsidR="003442D8" w:rsidRPr="00292998" w:rsidRDefault="003442D8" w:rsidP="003442D8">
      <w:pPr>
        <w:spacing w:after="0" w:line="240" w:lineRule="auto"/>
        <w:ind w:right="92"/>
        <w:jc w:val="both"/>
        <w:rPr>
          <w:rFonts w:ascii="Calibri" w:eastAsia="Times New Roman" w:hAnsi="Calibri" w:cs="Times New Roman"/>
          <w:b/>
          <w:bCs/>
          <w:iCs/>
          <w:sz w:val="24"/>
          <w:szCs w:val="24"/>
        </w:rPr>
      </w:pPr>
    </w:p>
    <w:p w14:paraId="673BF251" w14:textId="77777777" w:rsidR="00D90CF2" w:rsidRPr="00292998" w:rsidRDefault="00D90CF2" w:rsidP="00D90CF2">
      <w:pPr>
        <w:spacing w:after="0" w:line="240" w:lineRule="auto"/>
        <w:jc w:val="both"/>
        <w:rPr>
          <w:rFonts w:ascii="Calibri" w:eastAsia="Times New Roman" w:hAnsi="Calibri" w:cs="Times New Roman"/>
          <w:sz w:val="24"/>
          <w:szCs w:val="24"/>
        </w:rPr>
      </w:pPr>
      <w:r w:rsidRPr="00292998">
        <w:rPr>
          <w:rFonts w:ascii="Calibri" w:eastAsia="Times New Roman" w:hAnsi="Calibri" w:cs="Times New Roman"/>
          <w:sz w:val="24"/>
          <w:szCs w:val="24"/>
        </w:rPr>
        <w:t>Dugoročne obveze iskazuju se u poslovnim knjigama u vrijednosti nastale poslovne promjene dokazane urednom ispravom i ugovorom o stvaranju obveza.</w:t>
      </w:r>
    </w:p>
    <w:p w14:paraId="2FE45FCC" w14:textId="0E602026" w:rsidR="00D90CF2" w:rsidRDefault="00D90CF2" w:rsidP="00D90CF2">
      <w:pPr>
        <w:spacing w:after="0" w:line="240" w:lineRule="auto"/>
        <w:jc w:val="both"/>
        <w:rPr>
          <w:rFonts w:ascii="Calibri" w:eastAsia="Times New Roman" w:hAnsi="Calibri" w:cs="Times New Roman"/>
          <w:sz w:val="24"/>
          <w:szCs w:val="24"/>
        </w:rPr>
      </w:pPr>
      <w:r w:rsidRPr="00292998">
        <w:rPr>
          <w:rFonts w:ascii="Calibri" w:eastAsia="Times New Roman" w:hAnsi="Calibri" w:cs="Times New Roman"/>
          <w:sz w:val="24"/>
          <w:szCs w:val="24"/>
        </w:rPr>
        <w:t>Pod dugoročnim se obvezama podrazumijevaju obveze s rokom podmirenja dužim od 12 mjeseci od datuma izrade financijskih izvještaja.</w:t>
      </w:r>
    </w:p>
    <w:p w14:paraId="47EEA244" w14:textId="5377A43B" w:rsidR="003442D8" w:rsidRPr="008F425B" w:rsidRDefault="003442D8" w:rsidP="003442D8">
      <w:pPr>
        <w:spacing w:after="0" w:line="240" w:lineRule="auto"/>
        <w:jc w:val="both"/>
        <w:rPr>
          <w:rFonts w:ascii="Calibri" w:eastAsia="Times New Roman" w:hAnsi="Calibri" w:cs="Times New Roman"/>
          <w:sz w:val="24"/>
          <w:szCs w:val="24"/>
        </w:rPr>
      </w:pPr>
      <w:r w:rsidRPr="008F425B">
        <w:rPr>
          <w:rFonts w:ascii="Calibri" w:eastAsia="Times New Roman" w:hAnsi="Calibri" w:cs="Times New Roman"/>
          <w:sz w:val="24"/>
          <w:szCs w:val="24"/>
        </w:rPr>
        <w:t>Obveze po kreditima (dugoročne i kratkoročne) u stranoj valuti i uz deviznu klauzulu iskazane su po srednjem tečaju Hrvatske narodn</w:t>
      </w:r>
      <w:r w:rsidR="001F5C5D" w:rsidRPr="008F425B">
        <w:rPr>
          <w:rFonts w:ascii="Calibri" w:eastAsia="Times New Roman" w:hAnsi="Calibri" w:cs="Times New Roman"/>
          <w:sz w:val="24"/>
          <w:szCs w:val="24"/>
        </w:rPr>
        <w:t>e banke na dan 31. prosinca 20</w:t>
      </w:r>
      <w:r w:rsidR="00FA3619">
        <w:rPr>
          <w:rFonts w:ascii="Calibri" w:eastAsia="Times New Roman" w:hAnsi="Calibri" w:cs="Times New Roman"/>
          <w:sz w:val="24"/>
          <w:szCs w:val="24"/>
        </w:rPr>
        <w:t>20</w:t>
      </w:r>
      <w:r w:rsidRPr="008F425B">
        <w:rPr>
          <w:rFonts w:ascii="Calibri" w:eastAsia="Times New Roman" w:hAnsi="Calibri" w:cs="Times New Roman"/>
          <w:sz w:val="24"/>
          <w:szCs w:val="24"/>
        </w:rPr>
        <w:t>. godine.</w:t>
      </w:r>
    </w:p>
    <w:p w14:paraId="28D3DD0D" w14:textId="77777777" w:rsidR="003442D8" w:rsidRPr="008F425B" w:rsidRDefault="003442D8" w:rsidP="003442D8">
      <w:pPr>
        <w:spacing w:after="0" w:line="240" w:lineRule="auto"/>
        <w:jc w:val="both"/>
        <w:rPr>
          <w:rFonts w:ascii="Calibri" w:eastAsia="Times New Roman" w:hAnsi="Calibri" w:cs="Times New Roman"/>
          <w:iCs/>
          <w:sz w:val="24"/>
          <w:szCs w:val="24"/>
        </w:rPr>
      </w:pPr>
      <w:r w:rsidRPr="008F425B">
        <w:rPr>
          <w:rFonts w:ascii="Calibri" w:eastAsia="Times New Roman" w:hAnsi="Calibri" w:cs="Times New Roman"/>
          <w:sz w:val="24"/>
          <w:szCs w:val="24"/>
        </w:rPr>
        <w:t>Obveze</w:t>
      </w:r>
      <w:r w:rsidRPr="008F425B">
        <w:rPr>
          <w:rFonts w:ascii="Calibri" w:eastAsia="Times New Roman" w:hAnsi="Calibri" w:cs="Times New Roman"/>
          <w:iCs/>
          <w:sz w:val="24"/>
          <w:szCs w:val="24"/>
        </w:rPr>
        <w:t xml:space="preserve"> po podzajmu za Projekt Jadran iskazane su u kunskom iznosu na dan formiranja obveze, odnosno na dan plaćanja dobavljaču iz podzajma.</w:t>
      </w:r>
    </w:p>
    <w:p w14:paraId="25339065" w14:textId="77777777" w:rsidR="001F6422" w:rsidRPr="008F425B" w:rsidRDefault="001F6422" w:rsidP="003442D8">
      <w:pPr>
        <w:spacing w:after="0" w:line="240" w:lineRule="auto"/>
        <w:ind w:right="92"/>
        <w:jc w:val="both"/>
        <w:rPr>
          <w:rFonts w:ascii="Calibri" w:eastAsia="Times New Roman" w:hAnsi="Calibri" w:cs="Times New Roman"/>
          <w:iCs/>
          <w:sz w:val="24"/>
          <w:szCs w:val="24"/>
        </w:rPr>
      </w:pPr>
    </w:p>
    <w:p w14:paraId="459EF60A" w14:textId="7BF4E015" w:rsidR="003442D8" w:rsidRPr="00D90CF2"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KRATKOROČNE OBVEZE</w:t>
      </w:r>
    </w:p>
    <w:p w14:paraId="7E51B046"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3E513A86" w14:textId="46373E5E" w:rsidR="003442D8" w:rsidRPr="001F6422"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Kratkoročne obveze iskazuju se u poslovnim knjigama u vrijednosti nastale poslovne promjene dokazane urednom ispravom ili ugovorom o stvaranju obveza, a rok dospijeća im je kraći od 12 mjeseci. U kratkoročnim obvezama iskazane su obveze za zajmove, depozite i slično, obveze prema bankama i drugim financijskim institucijama, obveze za predujmove, obveze prema dobavljačima, obveze prema zaposlenicima, obveze za por</w:t>
      </w:r>
      <w:r w:rsidR="00523010" w:rsidRPr="008F425B">
        <w:rPr>
          <w:rFonts w:ascii="Calibri" w:eastAsia="Times New Roman" w:hAnsi="Calibri" w:cs="Times New Roman"/>
          <w:iCs/>
          <w:sz w:val="24"/>
          <w:szCs w:val="24"/>
        </w:rPr>
        <w:t>eze, doprinose i slična davanja</w:t>
      </w:r>
      <w:r w:rsidRPr="008F425B">
        <w:rPr>
          <w:rFonts w:ascii="Calibri" w:eastAsia="Times New Roman" w:hAnsi="Calibri" w:cs="Times New Roman"/>
          <w:iCs/>
          <w:sz w:val="24"/>
          <w:szCs w:val="24"/>
        </w:rPr>
        <w:t xml:space="preserve"> te ostale kratkoročne obveze.</w:t>
      </w:r>
      <w:r w:rsidR="00DF4D35">
        <w:rPr>
          <w:rFonts w:ascii="Calibri" w:eastAsia="Times New Roman" w:hAnsi="Calibri" w:cs="Times New Roman"/>
          <w:iCs/>
          <w:sz w:val="24"/>
          <w:szCs w:val="24"/>
        </w:rPr>
        <w:t xml:space="preserve">  </w:t>
      </w:r>
    </w:p>
    <w:p w14:paraId="05B8D7D8" w14:textId="63B4CF7C" w:rsidR="003442D8" w:rsidRPr="00292998" w:rsidRDefault="00D90CF2"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lastRenderedPageBreak/>
        <w:t>VREMENSKA RAZGRANIČENJA</w:t>
      </w:r>
    </w:p>
    <w:p w14:paraId="1F3D356A" w14:textId="77777777" w:rsidR="003442D8" w:rsidRPr="00292998" w:rsidRDefault="003442D8" w:rsidP="003442D8">
      <w:pPr>
        <w:spacing w:after="0" w:line="240" w:lineRule="auto"/>
        <w:ind w:right="92"/>
        <w:jc w:val="both"/>
        <w:rPr>
          <w:rFonts w:ascii="Calibri" w:eastAsia="Times New Roman" w:hAnsi="Calibri" w:cs="Times New Roman"/>
          <w:b/>
          <w:bCs/>
          <w:iCs/>
          <w:sz w:val="20"/>
          <w:szCs w:val="20"/>
        </w:rPr>
      </w:pPr>
    </w:p>
    <w:p w14:paraId="500CA12D" w14:textId="77777777" w:rsidR="00D90CF2" w:rsidRPr="00292998" w:rsidRDefault="00D90CF2" w:rsidP="00D90CF2">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0F9018A3" w14:textId="77777777" w:rsidR="00D90CF2" w:rsidRPr="00D90CF2" w:rsidRDefault="00D90CF2" w:rsidP="00D90CF2">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Prihodi budućih razdoblja odnose se na prihode koji su obračunati ili naplaćeni u tekućoj godini, a odnose se na buduće razdoblje.</w:t>
      </w:r>
    </w:p>
    <w:p w14:paraId="66D9E3FF" w14:textId="77777777" w:rsidR="00D90CF2" w:rsidRDefault="00D90CF2" w:rsidP="003442D8">
      <w:pPr>
        <w:spacing w:after="0" w:line="240" w:lineRule="auto"/>
        <w:ind w:right="92"/>
        <w:jc w:val="both"/>
        <w:rPr>
          <w:rFonts w:ascii="Calibri" w:eastAsia="Times New Roman" w:hAnsi="Calibri" w:cs="Times New Roman"/>
          <w:iCs/>
          <w:sz w:val="24"/>
          <w:szCs w:val="24"/>
        </w:rPr>
      </w:pPr>
    </w:p>
    <w:p w14:paraId="0A36E2FA" w14:textId="0834A63B" w:rsidR="003442D8" w:rsidRPr="008F425B"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 xml:space="preserve">Odgođeni prihodi odnose se na dobivena namjenska sredstva za investicije od: Primorsko-goranske županije, Hrvatskih voda, Fonda za regionalni razvoj, Ministarstva regionalnog razvoja, šumarstva i vodnog gospodarstva, Ministarstva mora, prometa i infrastrukture te na </w:t>
      </w:r>
      <w:r w:rsidR="00523010" w:rsidRPr="008F425B">
        <w:rPr>
          <w:rFonts w:ascii="Calibri" w:eastAsia="Times New Roman" w:hAnsi="Calibri" w:cs="Times New Roman"/>
          <w:iCs/>
          <w:sz w:val="24"/>
          <w:szCs w:val="24"/>
        </w:rPr>
        <w:t xml:space="preserve">utrošenu i </w:t>
      </w:r>
      <w:r w:rsidRPr="008F425B">
        <w:rPr>
          <w:rFonts w:ascii="Calibri" w:eastAsia="Times New Roman" w:hAnsi="Calibri" w:cs="Times New Roman"/>
          <w:iCs/>
          <w:sz w:val="24"/>
          <w:szCs w:val="24"/>
        </w:rPr>
        <w:t>neutrošenu naknadu za razvoj.</w:t>
      </w:r>
    </w:p>
    <w:p w14:paraId="76AE3E86" w14:textId="55A10F32" w:rsidR="003442D8" w:rsidRPr="008F425B"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Prijenos na prihode obavlja se u visini amortizacije za dugotrajnu imovinu nabavljenu iz tih sredstava (Bilješka 2</w:t>
      </w:r>
      <w:r w:rsidR="00DF4D35">
        <w:rPr>
          <w:rFonts w:ascii="Calibri" w:eastAsia="Times New Roman" w:hAnsi="Calibri" w:cs="Times New Roman"/>
          <w:iCs/>
          <w:sz w:val="24"/>
          <w:szCs w:val="24"/>
        </w:rPr>
        <w:t>4</w:t>
      </w:r>
      <w:r w:rsidRPr="008F425B">
        <w:rPr>
          <w:rFonts w:ascii="Calibri" w:eastAsia="Times New Roman" w:hAnsi="Calibri" w:cs="Times New Roman"/>
          <w:iCs/>
          <w:sz w:val="24"/>
          <w:szCs w:val="24"/>
        </w:rPr>
        <w:t>).</w:t>
      </w:r>
    </w:p>
    <w:p w14:paraId="15A1933E"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29A2B158" w14:textId="147DA87E" w:rsidR="003442D8" w:rsidRPr="00D90CF2"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 xml:space="preserve">IZVANBILANČNI ZAPISI   </w:t>
      </w:r>
    </w:p>
    <w:p w14:paraId="617A4739" w14:textId="77777777" w:rsidR="003442D8" w:rsidRPr="00FA3619" w:rsidRDefault="003442D8" w:rsidP="003442D8">
      <w:pPr>
        <w:spacing w:after="0" w:line="240" w:lineRule="auto"/>
        <w:ind w:right="92"/>
        <w:jc w:val="both"/>
        <w:rPr>
          <w:rFonts w:ascii="Calibri" w:eastAsia="Times New Roman" w:hAnsi="Calibri" w:cs="Times New Roman"/>
          <w:b/>
          <w:bCs/>
          <w:iCs/>
          <w:sz w:val="20"/>
          <w:szCs w:val="20"/>
        </w:rPr>
      </w:pPr>
    </w:p>
    <w:p w14:paraId="2B0B2FC6" w14:textId="2C6E6B29"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u okviru izvan bilančnih zapisa iskazuje </w:t>
      </w:r>
      <w:r w:rsidR="007158E4" w:rsidRPr="00FA3619">
        <w:rPr>
          <w:rFonts w:ascii="Calibri" w:eastAsia="Times New Roman" w:hAnsi="Calibri" w:cs="Times New Roman"/>
          <w:iCs/>
          <w:sz w:val="24"/>
          <w:szCs w:val="24"/>
        </w:rPr>
        <w:t xml:space="preserve">primljene i dane </w:t>
      </w:r>
      <w:r w:rsidRPr="00FA3619">
        <w:rPr>
          <w:rFonts w:ascii="Calibri" w:eastAsia="Times New Roman" w:hAnsi="Calibri" w:cs="Times New Roman"/>
          <w:iCs/>
          <w:sz w:val="24"/>
          <w:szCs w:val="24"/>
        </w:rPr>
        <w:t>bankovne garancije i zadužnice za uredno ispunjenje ugovornih obveza</w:t>
      </w:r>
      <w:r w:rsidR="007158E4" w:rsidRPr="00FA3619">
        <w:rPr>
          <w:rFonts w:ascii="Calibri" w:eastAsia="Times New Roman" w:hAnsi="Calibri" w:cs="Times New Roman"/>
          <w:iCs/>
          <w:sz w:val="24"/>
          <w:szCs w:val="24"/>
        </w:rPr>
        <w:t>, primljene garancije za isplaćene predujmove i primljene</w:t>
      </w:r>
      <w:r w:rsidRPr="00FA3619">
        <w:rPr>
          <w:rFonts w:ascii="Calibri" w:eastAsia="Times New Roman" w:hAnsi="Calibri" w:cs="Times New Roman"/>
          <w:iCs/>
          <w:sz w:val="24"/>
          <w:szCs w:val="24"/>
        </w:rPr>
        <w:t xml:space="preserve"> garancije za radove u jamstvenom roku.</w:t>
      </w:r>
    </w:p>
    <w:p w14:paraId="67347F24" w14:textId="77777777" w:rsidR="003442D8" w:rsidRPr="00FA3619" w:rsidRDefault="003442D8" w:rsidP="003442D8">
      <w:pPr>
        <w:spacing w:after="0" w:line="240" w:lineRule="auto"/>
        <w:rPr>
          <w:rFonts w:ascii="Calibri" w:eastAsia="Times New Roman" w:hAnsi="Calibri" w:cs="Times New Roman"/>
          <w:b/>
          <w:bCs/>
          <w:iCs/>
          <w:sz w:val="24"/>
          <w:szCs w:val="24"/>
        </w:rPr>
      </w:pPr>
    </w:p>
    <w:p w14:paraId="184453C5" w14:textId="50608785" w:rsidR="0087334F" w:rsidRDefault="0087334F" w:rsidP="003442D8">
      <w:pPr>
        <w:spacing w:after="0" w:line="240" w:lineRule="auto"/>
        <w:rPr>
          <w:rFonts w:ascii="Calibri" w:eastAsia="Times New Roman" w:hAnsi="Calibri" w:cs="Times New Roman"/>
          <w:b/>
          <w:bCs/>
          <w:iCs/>
          <w:sz w:val="24"/>
          <w:szCs w:val="24"/>
        </w:rPr>
      </w:pPr>
    </w:p>
    <w:p w14:paraId="223BDE52" w14:textId="77777777" w:rsidR="001F6422" w:rsidRPr="00FA3619" w:rsidRDefault="001F6422" w:rsidP="003442D8">
      <w:pPr>
        <w:spacing w:after="0" w:line="240" w:lineRule="auto"/>
        <w:rPr>
          <w:rFonts w:ascii="Calibri" w:eastAsia="Times New Roman" w:hAnsi="Calibri" w:cs="Times New Roman"/>
          <w:b/>
          <w:bCs/>
          <w:iCs/>
          <w:sz w:val="24"/>
          <w:szCs w:val="24"/>
        </w:rPr>
      </w:pPr>
    </w:p>
    <w:p w14:paraId="638580FD" w14:textId="77777777" w:rsidR="001F6422" w:rsidRDefault="001F6422">
      <w:pPr>
        <w:rPr>
          <w:rFonts w:ascii="Calibri" w:eastAsia="Times New Roman" w:hAnsi="Calibri" w:cs="Times New Roman"/>
          <w:b/>
          <w:bCs/>
          <w:iCs/>
          <w:sz w:val="24"/>
          <w:szCs w:val="24"/>
        </w:rPr>
      </w:pPr>
      <w:r>
        <w:rPr>
          <w:rFonts w:ascii="Calibri" w:eastAsia="Times New Roman" w:hAnsi="Calibri" w:cs="Times New Roman"/>
          <w:b/>
          <w:bCs/>
          <w:iCs/>
          <w:sz w:val="24"/>
          <w:szCs w:val="24"/>
        </w:rPr>
        <w:br w:type="page"/>
      </w:r>
    </w:p>
    <w:p w14:paraId="34F47CDE" w14:textId="6DCCC3EE" w:rsidR="003442D8" w:rsidRPr="00AD0D10" w:rsidRDefault="003442D8" w:rsidP="00AD0D10">
      <w:pPr>
        <w:pStyle w:val="ListParagraph"/>
        <w:numPr>
          <w:ilvl w:val="0"/>
          <w:numId w:val="1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 xml:space="preserve">POSLOVNI PRIHODI </w:t>
      </w:r>
    </w:p>
    <w:p w14:paraId="22671177" w14:textId="77777777" w:rsidR="003442D8" w:rsidRPr="007158E4" w:rsidRDefault="003442D8" w:rsidP="003442D8">
      <w:pPr>
        <w:spacing w:after="0" w:line="240" w:lineRule="auto"/>
        <w:ind w:right="92"/>
        <w:jc w:val="both"/>
        <w:rPr>
          <w:rFonts w:ascii="Calibri" w:eastAsia="Times New Roman" w:hAnsi="Calibri" w:cs="Times New Roman"/>
          <w:b/>
          <w:bCs/>
          <w:iCs/>
          <w:sz w:val="24"/>
          <w:szCs w:val="24"/>
          <w:highlight w:val="cyan"/>
        </w:rPr>
      </w:pPr>
    </w:p>
    <w:p w14:paraId="6715BA46" w14:textId="77777777" w:rsidR="003442D8" w:rsidRPr="00FA3619" w:rsidRDefault="003442D8" w:rsidP="003442D8">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Poslovni prihodi obuhvaćaju prihode od prodaje i ostale poslovne prihode.</w:t>
      </w:r>
    </w:p>
    <w:p w14:paraId="55B17FFB" w14:textId="77777777" w:rsidR="0087334F" w:rsidRPr="00FA3619" w:rsidRDefault="0087334F" w:rsidP="003442D8">
      <w:pPr>
        <w:spacing w:after="0" w:line="240" w:lineRule="auto"/>
        <w:ind w:right="92"/>
        <w:jc w:val="both"/>
        <w:rPr>
          <w:rFonts w:ascii="Calibri" w:eastAsia="Times New Roman" w:hAnsi="Calibri" w:cs="Times New Roman"/>
          <w:bCs/>
          <w:iCs/>
          <w:sz w:val="24"/>
          <w:szCs w:val="24"/>
        </w:rPr>
      </w:pPr>
    </w:p>
    <w:tbl>
      <w:tblPr>
        <w:tblStyle w:val="Reetkatablice1"/>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108"/>
        <w:gridCol w:w="1458"/>
        <w:gridCol w:w="1715"/>
        <w:gridCol w:w="1689"/>
      </w:tblGrid>
      <w:tr w:rsidR="005F6F7A" w:rsidRPr="00FA3619" w14:paraId="3C0724B7" w14:textId="77777777" w:rsidTr="003442D8">
        <w:tc>
          <w:tcPr>
            <w:tcW w:w="4088" w:type="dxa"/>
          </w:tcPr>
          <w:p w14:paraId="58ED4C81" w14:textId="77777777" w:rsidR="003442D8" w:rsidRPr="00FA3619" w:rsidRDefault="003442D8" w:rsidP="003442D8">
            <w:pPr>
              <w:ind w:right="92"/>
              <w:jc w:val="both"/>
              <w:rPr>
                <w:rFonts w:ascii="Calibri" w:hAnsi="Calibri"/>
                <w:b/>
                <w:bCs/>
                <w:iCs/>
                <w:sz w:val="24"/>
                <w:szCs w:val="24"/>
              </w:rPr>
            </w:pPr>
            <w:r w:rsidRPr="00FA3619">
              <w:rPr>
                <w:rFonts w:ascii="Calibri" w:hAnsi="Calibri"/>
                <w:b/>
                <w:bCs/>
                <w:iCs/>
                <w:sz w:val="24"/>
                <w:szCs w:val="24"/>
              </w:rPr>
              <w:t>OPIS</w:t>
            </w:r>
          </w:p>
        </w:tc>
        <w:tc>
          <w:tcPr>
            <w:tcW w:w="1566" w:type="dxa"/>
            <w:gridSpan w:val="2"/>
          </w:tcPr>
          <w:p w14:paraId="229CCBFA" w14:textId="77777777" w:rsidR="003442D8" w:rsidRPr="00FA3619" w:rsidRDefault="003442D8" w:rsidP="003442D8">
            <w:pPr>
              <w:ind w:right="92"/>
              <w:rPr>
                <w:rFonts w:ascii="Calibri" w:hAnsi="Calibri"/>
                <w:b/>
                <w:bCs/>
                <w:iCs/>
                <w:sz w:val="24"/>
                <w:szCs w:val="24"/>
              </w:rPr>
            </w:pPr>
            <w:r w:rsidRPr="00FA3619">
              <w:rPr>
                <w:rFonts w:ascii="Calibri" w:hAnsi="Calibri"/>
                <w:b/>
                <w:bCs/>
                <w:iCs/>
                <w:sz w:val="24"/>
                <w:szCs w:val="24"/>
              </w:rPr>
              <w:t>Bilješka</w:t>
            </w:r>
          </w:p>
        </w:tc>
        <w:tc>
          <w:tcPr>
            <w:tcW w:w="1715" w:type="dxa"/>
          </w:tcPr>
          <w:p w14:paraId="744A0ADC" w14:textId="36A5CD95" w:rsidR="003442D8" w:rsidRPr="00FA3619" w:rsidRDefault="00DA369B" w:rsidP="003442D8">
            <w:pPr>
              <w:ind w:right="92"/>
              <w:jc w:val="right"/>
              <w:rPr>
                <w:rFonts w:ascii="Calibri" w:hAnsi="Calibri"/>
                <w:b/>
                <w:bCs/>
                <w:iCs/>
                <w:sz w:val="24"/>
                <w:szCs w:val="24"/>
                <w:u w:val="single"/>
              </w:rPr>
            </w:pPr>
            <w:r w:rsidRPr="00FA3619">
              <w:rPr>
                <w:rFonts w:ascii="Calibri" w:hAnsi="Calibri"/>
                <w:b/>
                <w:bCs/>
                <w:iCs/>
                <w:sz w:val="24"/>
                <w:szCs w:val="24"/>
                <w:u w:val="single"/>
              </w:rPr>
              <w:t>201</w:t>
            </w:r>
            <w:r w:rsidR="005F6F7A" w:rsidRPr="00FA3619">
              <w:rPr>
                <w:rFonts w:ascii="Calibri" w:hAnsi="Calibri"/>
                <w:b/>
                <w:bCs/>
                <w:iCs/>
                <w:sz w:val="24"/>
                <w:szCs w:val="24"/>
                <w:u w:val="single"/>
              </w:rPr>
              <w:t>9</w:t>
            </w:r>
            <w:r w:rsidR="003442D8" w:rsidRPr="00FA3619">
              <w:rPr>
                <w:rFonts w:ascii="Calibri" w:hAnsi="Calibri"/>
                <w:b/>
                <w:bCs/>
                <w:iCs/>
                <w:sz w:val="24"/>
                <w:szCs w:val="24"/>
                <w:u w:val="single"/>
              </w:rPr>
              <w:t>.</w:t>
            </w:r>
          </w:p>
        </w:tc>
        <w:tc>
          <w:tcPr>
            <w:tcW w:w="1689" w:type="dxa"/>
          </w:tcPr>
          <w:p w14:paraId="578FA058" w14:textId="78657198" w:rsidR="003442D8" w:rsidRPr="00FA3619" w:rsidRDefault="00DA369B" w:rsidP="003442D8">
            <w:pPr>
              <w:ind w:right="92"/>
              <w:jc w:val="right"/>
              <w:rPr>
                <w:rFonts w:ascii="Calibri" w:hAnsi="Calibri"/>
                <w:b/>
                <w:bCs/>
                <w:iCs/>
                <w:sz w:val="24"/>
                <w:szCs w:val="24"/>
                <w:u w:val="single"/>
              </w:rPr>
            </w:pPr>
            <w:r w:rsidRPr="00FA3619">
              <w:rPr>
                <w:rFonts w:ascii="Calibri" w:hAnsi="Calibri"/>
                <w:b/>
                <w:bCs/>
                <w:iCs/>
                <w:sz w:val="24"/>
                <w:szCs w:val="24"/>
                <w:u w:val="single"/>
              </w:rPr>
              <w:t>20</w:t>
            </w:r>
            <w:r w:rsidR="005F6F7A" w:rsidRPr="00FA3619">
              <w:rPr>
                <w:rFonts w:ascii="Calibri" w:hAnsi="Calibri"/>
                <w:b/>
                <w:bCs/>
                <w:iCs/>
                <w:sz w:val="24"/>
                <w:szCs w:val="24"/>
                <w:u w:val="single"/>
              </w:rPr>
              <w:t>20</w:t>
            </w:r>
            <w:r w:rsidR="003442D8" w:rsidRPr="00FA3619">
              <w:rPr>
                <w:rFonts w:ascii="Calibri" w:hAnsi="Calibri"/>
                <w:b/>
                <w:bCs/>
                <w:iCs/>
                <w:sz w:val="24"/>
                <w:szCs w:val="24"/>
                <w:u w:val="single"/>
              </w:rPr>
              <w:t>.</w:t>
            </w:r>
          </w:p>
        </w:tc>
      </w:tr>
      <w:tr w:rsidR="005F6F7A" w:rsidRPr="00FA3619" w14:paraId="5F8051E4" w14:textId="77777777" w:rsidTr="003442D8">
        <w:tc>
          <w:tcPr>
            <w:tcW w:w="4088" w:type="dxa"/>
          </w:tcPr>
          <w:p w14:paraId="791844A9" w14:textId="77777777" w:rsidR="003442D8" w:rsidRPr="00FA3619" w:rsidRDefault="003442D8" w:rsidP="003442D8">
            <w:pPr>
              <w:ind w:right="92"/>
              <w:jc w:val="both"/>
              <w:rPr>
                <w:rFonts w:ascii="Calibri" w:hAnsi="Calibri"/>
                <w:bCs/>
                <w:iCs/>
                <w:sz w:val="24"/>
                <w:szCs w:val="24"/>
              </w:rPr>
            </w:pPr>
          </w:p>
        </w:tc>
        <w:tc>
          <w:tcPr>
            <w:tcW w:w="1566" w:type="dxa"/>
            <w:gridSpan w:val="2"/>
          </w:tcPr>
          <w:p w14:paraId="330F12D6" w14:textId="77777777" w:rsidR="003442D8" w:rsidRPr="00FA3619" w:rsidRDefault="003442D8" w:rsidP="003442D8">
            <w:pPr>
              <w:ind w:right="92"/>
              <w:jc w:val="both"/>
              <w:rPr>
                <w:rFonts w:ascii="Calibri" w:hAnsi="Calibri"/>
                <w:bCs/>
                <w:iCs/>
                <w:sz w:val="24"/>
                <w:szCs w:val="24"/>
              </w:rPr>
            </w:pPr>
          </w:p>
        </w:tc>
        <w:tc>
          <w:tcPr>
            <w:tcW w:w="1715" w:type="dxa"/>
          </w:tcPr>
          <w:p w14:paraId="645276EE" w14:textId="77777777" w:rsidR="003442D8" w:rsidRPr="00FA3619" w:rsidRDefault="003442D8" w:rsidP="003442D8">
            <w:pPr>
              <w:ind w:right="92"/>
              <w:jc w:val="right"/>
              <w:rPr>
                <w:rFonts w:ascii="Calibri" w:hAnsi="Calibri"/>
                <w:bCs/>
                <w:iCs/>
                <w:sz w:val="24"/>
                <w:szCs w:val="24"/>
              </w:rPr>
            </w:pPr>
            <w:r w:rsidRPr="00FA3619">
              <w:rPr>
                <w:rFonts w:ascii="Calibri" w:hAnsi="Calibri"/>
                <w:bCs/>
                <w:iCs/>
                <w:sz w:val="24"/>
                <w:szCs w:val="24"/>
              </w:rPr>
              <w:t>HRK</w:t>
            </w:r>
          </w:p>
        </w:tc>
        <w:tc>
          <w:tcPr>
            <w:tcW w:w="1689" w:type="dxa"/>
          </w:tcPr>
          <w:p w14:paraId="4AA96479" w14:textId="77777777" w:rsidR="003442D8" w:rsidRPr="00FA3619" w:rsidRDefault="003442D8" w:rsidP="003442D8">
            <w:pPr>
              <w:ind w:right="92"/>
              <w:jc w:val="right"/>
              <w:rPr>
                <w:rFonts w:ascii="Calibri" w:hAnsi="Calibri"/>
                <w:bCs/>
                <w:iCs/>
                <w:sz w:val="24"/>
                <w:szCs w:val="24"/>
              </w:rPr>
            </w:pPr>
            <w:r w:rsidRPr="00FA3619">
              <w:rPr>
                <w:rFonts w:ascii="Calibri" w:hAnsi="Calibri"/>
                <w:bCs/>
                <w:iCs/>
                <w:sz w:val="24"/>
                <w:szCs w:val="24"/>
              </w:rPr>
              <w:t>HRK</w:t>
            </w:r>
          </w:p>
        </w:tc>
      </w:tr>
      <w:tr w:rsidR="005F6F7A" w:rsidRPr="000A6FC0" w14:paraId="7596F63E" w14:textId="77777777" w:rsidTr="003442D8">
        <w:tc>
          <w:tcPr>
            <w:tcW w:w="4088" w:type="dxa"/>
          </w:tcPr>
          <w:p w14:paraId="58D29329" w14:textId="52FF6A87" w:rsidR="00DA369B" w:rsidRPr="000A6FC0" w:rsidRDefault="000A6FC0" w:rsidP="003442D8">
            <w:pPr>
              <w:ind w:right="92"/>
              <w:jc w:val="both"/>
              <w:rPr>
                <w:rFonts w:ascii="Calibri" w:hAnsi="Calibri"/>
                <w:b/>
                <w:iCs/>
                <w:sz w:val="24"/>
                <w:szCs w:val="24"/>
              </w:rPr>
            </w:pPr>
            <w:r w:rsidRPr="000A6FC0">
              <w:rPr>
                <w:rFonts w:ascii="Calibri" w:hAnsi="Calibri"/>
                <w:b/>
                <w:iCs/>
                <w:sz w:val="24"/>
                <w:szCs w:val="24"/>
              </w:rPr>
              <w:t>Poslovni prihodi</w:t>
            </w:r>
          </w:p>
        </w:tc>
        <w:tc>
          <w:tcPr>
            <w:tcW w:w="1566" w:type="dxa"/>
            <w:gridSpan w:val="2"/>
          </w:tcPr>
          <w:p w14:paraId="216464FD" w14:textId="77777777" w:rsidR="00DA369B" w:rsidRPr="000A6FC0" w:rsidRDefault="00DA369B" w:rsidP="003442D8">
            <w:pPr>
              <w:ind w:right="92"/>
              <w:jc w:val="both"/>
              <w:rPr>
                <w:rFonts w:ascii="Calibri" w:hAnsi="Calibri"/>
                <w:b/>
                <w:iCs/>
                <w:sz w:val="24"/>
                <w:szCs w:val="24"/>
              </w:rPr>
            </w:pPr>
          </w:p>
        </w:tc>
        <w:tc>
          <w:tcPr>
            <w:tcW w:w="1715" w:type="dxa"/>
            <w:tcBorders>
              <w:bottom w:val="single" w:sz="4" w:space="0" w:color="auto"/>
            </w:tcBorders>
          </w:tcPr>
          <w:p w14:paraId="2382F044" w14:textId="1A527877" w:rsidR="00DA369B" w:rsidRPr="000A6FC0" w:rsidRDefault="005F6F7A" w:rsidP="00DA369B">
            <w:pPr>
              <w:jc w:val="right"/>
              <w:rPr>
                <w:rFonts w:ascii="Calibri" w:hAnsi="Calibri"/>
                <w:b/>
                <w:sz w:val="24"/>
                <w:szCs w:val="24"/>
              </w:rPr>
            </w:pPr>
            <w:r w:rsidRPr="000A6FC0">
              <w:rPr>
                <w:rFonts w:ascii="Calibri" w:hAnsi="Calibri"/>
                <w:b/>
                <w:sz w:val="24"/>
                <w:szCs w:val="24"/>
              </w:rPr>
              <w:t>60.020</w:t>
            </w:r>
            <w:r w:rsidR="00DA369B" w:rsidRPr="000A6FC0">
              <w:rPr>
                <w:rFonts w:ascii="Calibri" w:hAnsi="Calibri"/>
                <w:b/>
                <w:sz w:val="24"/>
                <w:szCs w:val="24"/>
              </w:rPr>
              <w:t>.</w:t>
            </w:r>
            <w:r w:rsidRPr="000A6FC0">
              <w:rPr>
                <w:rFonts w:ascii="Calibri" w:hAnsi="Calibri"/>
                <w:b/>
                <w:sz w:val="24"/>
                <w:szCs w:val="24"/>
              </w:rPr>
              <w:t>739,88</w:t>
            </w:r>
          </w:p>
        </w:tc>
        <w:tc>
          <w:tcPr>
            <w:tcW w:w="1689" w:type="dxa"/>
            <w:tcBorders>
              <w:bottom w:val="single" w:sz="4" w:space="0" w:color="auto"/>
            </w:tcBorders>
          </w:tcPr>
          <w:p w14:paraId="71481693" w14:textId="0BCAA599" w:rsidR="00DA369B" w:rsidRPr="000A6FC0" w:rsidRDefault="005F6F7A" w:rsidP="003442D8">
            <w:pPr>
              <w:jc w:val="right"/>
              <w:rPr>
                <w:rFonts w:ascii="Calibri" w:hAnsi="Calibri"/>
                <w:b/>
                <w:sz w:val="24"/>
                <w:szCs w:val="24"/>
              </w:rPr>
            </w:pPr>
            <w:r w:rsidRPr="000A6FC0">
              <w:rPr>
                <w:rFonts w:ascii="Calibri" w:hAnsi="Calibri"/>
                <w:b/>
                <w:iCs/>
                <w:sz w:val="24"/>
                <w:szCs w:val="24"/>
              </w:rPr>
              <w:t>55</w:t>
            </w:r>
            <w:r w:rsidR="00DE5D61" w:rsidRPr="000A6FC0">
              <w:rPr>
                <w:rFonts w:ascii="Calibri" w:hAnsi="Calibri"/>
                <w:b/>
                <w:iCs/>
                <w:sz w:val="24"/>
                <w:szCs w:val="24"/>
              </w:rPr>
              <w:t>.</w:t>
            </w:r>
            <w:r w:rsidRPr="000A6FC0">
              <w:rPr>
                <w:rFonts w:ascii="Calibri" w:hAnsi="Calibri"/>
                <w:b/>
                <w:iCs/>
                <w:sz w:val="24"/>
                <w:szCs w:val="24"/>
              </w:rPr>
              <w:t>129</w:t>
            </w:r>
            <w:r w:rsidR="00DE5D61" w:rsidRPr="000A6FC0">
              <w:rPr>
                <w:rFonts w:ascii="Calibri" w:hAnsi="Calibri"/>
                <w:b/>
                <w:iCs/>
                <w:sz w:val="24"/>
                <w:szCs w:val="24"/>
              </w:rPr>
              <w:t>.</w:t>
            </w:r>
            <w:r w:rsidRPr="000A6FC0">
              <w:rPr>
                <w:rFonts w:ascii="Calibri" w:hAnsi="Calibri"/>
                <w:b/>
                <w:iCs/>
                <w:sz w:val="24"/>
                <w:szCs w:val="24"/>
              </w:rPr>
              <w:t>702</w:t>
            </w:r>
            <w:r w:rsidR="00DE5D61" w:rsidRPr="000A6FC0">
              <w:rPr>
                <w:rFonts w:ascii="Calibri" w:hAnsi="Calibri"/>
                <w:b/>
                <w:iCs/>
                <w:sz w:val="24"/>
                <w:szCs w:val="24"/>
              </w:rPr>
              <w:t>,</w:t>
            </w:r>
            <w:r w:rsidRPr="000A6FC0">
              <w:rPr>
                <w:rFonts w:ascii="Calibri" w:hAnsi="Calibri"/>
                <w:b/>
                <w:iCs/>
                <w:sz w:val="24"/>
                <w:szCs w:val="24"/>
              </w:rPr>
              <w:t>23</w:t>
            </w:r>
          </w:p>
        </w:tc>
      </w:tr>
      <w:tr w:rsidR="005F6F7A" w:rsidRPr="00FA3619" w14:paraId="634E649F" w14:textId="77777777" w:rsidTr="003442D8">
        <w:tc>
          <w:tcPr>
            <w:tcW w:w="4088" w:type="dxa"/>
            <w:vAlign w:val="center"/>
          </w:tcPr>
          <w:p w14:paraId="3B7197A5" w14:textId="65D93FC3" w:rsidR="00DA369B" w:rsidRPr="00FA3619" w:rsidRDefault="00DA369B" w:rsidP="003442D8">
            <w:pPr>
              <w:ind w:right="92"/>
              <w:jc w:val="both"/>
              <w:rPr>
                <w:rFonts w:ascii="Calibri" w:hAnsi="Calibri"/>
                <w:bCs/>
                <w:iCs/>
                <w:sz w:val="24"/>
                <w:szCs w:val="24"/>
              </w:rPr>
            </w:pPr>
            <w:r w:rsidRPr="00FA3619">
              <w:rPr>
                <w:rFonts w:ascii="Calibri" w:hAnsi="Calibri"/>
                <w:bCs/>
                <w:iCs/>
                <w:sz w:val="24"/>
                <w:szCs w:val="24"/>
              </w:rPr>
              <w:t>Prihod</w:t>
            </w:r>
            <w:r w:rsidR="000A6FC0">
              <w:rPr>
                <w:rFonts w:ascii="Calibri" w:hAnsi="Calibri"/>
                <w:bCs/>
                <w:iCs/>
                <w:sz w:val="24"/>
                <w:szCs w:val="24"/>
              </w:rPr>
              <w:t>i</w:t>
            </w:r>
            <w:r w:rsidRPr="00FA3619">
              <w:rPr>
                <w:rFonts w:ascii="Calibri" w:hAnsi="Calibri"/>
                <w:bCs/>
                <w:iCs/>
                <w:sz w:val="24"/>
                <w:szCs w:val="24"/>
              </w:rPr>
              <w:t xml:space="preserve"> od prodaje </w:t>
            </w:r>
          </w:p>
        </w:tc>
        <w:tc>
          <w:tcPr>
            <w:tcW w:w="1566" w:type="dxa"/>
            <w:gridSpan w:val="2"/>
            <w:tcBorders>
              <w:right w:val="single" w:sz="4" w:space="0" w:color="auto"/>
            </w:tcBorders>
            <w:vAlign w:val="center"/>
          </w:tcPr>
          <w:p w14:paraId="0FD356CF" w14:textId="77777777" w:rsidR="00DA369B" w:rsidRPr="00FA3619" w:rsidRDefault="00DA369B" w:rsidP="003442D8">
            <w:pPr>
              <w:ind w:right="92"/>
              <w:jc w:val="both"/>
              <w:rPr>
                <w:rFonts w:ascii="Calibri" w:hAnsi="Calibri"/>
                <w:bCs/>
                <w:iCs/>
                <w:sz w:val="24"/>
                <w:szCs w:val="24"/>
              </w:rPr>
            </w:pPr>
            <w:r w:rsidRPr="00FA3619">
              <w:rPr>
                <w:rFonts w:ascii="Calibri" w:hAnsi="Calibri"/>
                <w:bCs/>
                <w:iCs/>
                <w:sz w:val="24"/>
                <w:szCs w:val="24"/>
              </w:rPr>
              <w:t xml:space="preserve">   a)</w:t>
            </w:r>
          </w:p>
        </w:tc>
        <w:tc>
          <w:tcPr>
            <w:tcW w:w="1715" w:type="dxa"/>
            <w:tcBorders>
              <w:top w:val="single" w:sz="4" w:space="0" w:color="auto"/>
              <w:left w:val="single" w:sz="4" w:space="0" w:color="auto"/>
              <w:right w:val="single" w:sz="4" w:space="0" w:color="auto"/>
            </w:tcBorders>
            <w:vAlign w:val="center"/>
          </w:tcPr>
          <w:p w14:paraId="39B5E9B7" w14:textId="77885755" w:rsidR="00DA369B" w:rsidRPr="00FA3619" w:rsidRDefault="00DA369B" w:rsidP="00DA369B">
            <w:pPr>
              <w:jc w:val="right"/>
              <w:rPr>
                <w:rFonts w:ascii="Calibri" w:hAnsi="Calibri"/>
                <w:sz w:val="24"/>
                <w:szCs w:val="24"/>
              </w:rPr>
            </w:pPr>
            <w:r w:rsidRPr="00FA3619">
              <w:rPr>
                <w:rFonts w:ascii="Calibri" w:hAnsi="Calibri"/>
                <w:sz w:val="24"/>
                <w:szCs w:val="24"/>
              </w:rPr>
              <w:t>4</w:t>
            </w:r>
            <w:r w:rsidR="005F6F7A" w:rsidRPr="00FA3619">
              <w:rPr>
                <w:rFonts w:ascii="Calibri" w:hAnsi="Calibri"/>
                <w:sz w:val="24"/>
                <w:szCs w:val="24"/>
              </w:rPr>
              <w:t>6</w:t>
            </w:r>
            <w:r w:rsidRPr="00FA3619">
              <w:rPr>
                <w:rFonts w:ascii="Calibri" w:hAnsi="Calibri"/>
                <w:sz w:val="24"/>
                <w:szCs w:val="24"/>
              </w:rPr>
              <w:t>.</w:t>
            </w:r>
            <w:r w:rsidR="005F6F7A" w:rsidRPr="00FA3619">
              <w:rPr>
                <w:rFonts w:ascii="Calibri" w:hAnsi="Calibri"/>
                <w:sz w:val="24"/>
                <w:szCs w:val="24"/>
              </w:rPr>
              <w:t>409</w:t>
            </w:r>
            <w:r w:rsidRPr="00FA3619">
              <w:rPr>
                <w:rFonts w:ascii="Calibri" w:hAnsi="Calibri"/>
                <w:sz w:val="24"/>
                <w:szCs w:val="24"/>
              </w:rPr>
              <w:t>.</w:t>
            </w:r>
            <w:r w:rsidR="005F6F7A" w:rsidRPr="00FA3619">
              <w:rPr>
                <w:rFonts w:ascii="Calibri" w:hAnsi="Calibri"/>
                <w:sz w:val="24"/>
                <w:szCs w:val="24"/>
              </w:rPr>
              <w:t>484,13</w:t>
            </w:r>
          </w:p>
        </w:tc>
        <w:tc>
          <w:tcPr>
            <w:tcW w:w="1689" w:type="dxa"/>
            <w:tcBorders>
              <w:top w:val="single" w:sz="4" w:space="0" w:color="auto"/>
              <w:left w:val="single" w:sz="4" w:space="0" w:color="auto"/>
              <w:right w:val="single" w:sz="4" w:space="0" w:color="auto"/>
            </w:tcBorders>
            <w:vAlign w:val="center"/>
          </w:tcPr>
          <w:p w14:paraId="12D3D2E5" w14:textId="7423F080" w:rsidR="00DA369B" w:rsidRPr="00FA3619" w:rsidRDefault="00DE5D61" w:rsidP="00DE5D61">
            <w:pPr>
              <w:jc w:val="right"/>
              <w:rPr>
                <w:rFonts w:ascii="Calibri" w:hAnsi="Calibri"/>
                <w:sz w:val="24"/>
                <w:szCs w:val="24"/>
              </w:rPr>
            </w:pPr>
            <w:r w:rsidRPr="00FA3619">
              <w:rPr>
                <w:rFonts w:ascii="Calibri" w:hAnsi="Calibri"/>
                <w:sz w:val="24"/>
                <w:szCs w:val="24"/>
              </w:rPr>
              <w:t>4</w:t>
            </w:r>
            <w:r w:rsidR="005F6F7A" w:rsidRPr="00FA3619">
              <w:rPr>
                <w:rFonts w:ascii="Calibri" w:hAnsi="Calibri"/>
                <w:sz w:val="24"/>
                <w:szCs w:val="24"/>
              </w:rPr>
              <w:t>1</w:t>
            </w:r>
            <w:r w:rsidRPr="00FA3619">
              <w:rPr>
                <w:rFonts w:ascii="Calibri" w:hAnsi="Calibri"/>
                <w:sz w:val="24"/>
                <w:szCs w:val="24"/>
              </w:rPr>
              <w:t>.</w:t>
            </w:r>
            <w:r w:rsidR="005F6F7A" w:rsidRPr="00FA3619">
              <w:rPr>
                <w:rFonts w:ascii="Calibri" w:hAnsi="Calibri"/>
                <w:sz w:val="24"/>
                <w:szCs w:val="24"/>
              </w:rPr>
              <w:t>515</w:t>
            </w:r>
            <w:r w:rsidRPr="00FA3619">
              <w:rPr>
                <w:rFonts w:ascii="Calibri" w:hAnsi="Calibri"/>
                <w:sz w:val="24"/>
                <w:szCs w:val="24"/>
              </w:rPr>
              <w:t>.</w:t>
            </w:r>
            <w:r w:rsidR="005F6F7A" w:rsidRPr="00FA3619">
              <w:rPr>
                <w:rFonts w:ascii="Calibri" w:hAnsi="Calibri"/>
                <w:sz w:val="24"/>
                <w:szCs w:val="24"/>
              </w:rPr>
              <w:t>679,43</w:t>
            </w:r>
          </w:p>
        </w:tc>
      </w:tr>
      <w:tr w:rsidR="005F6F7A" w:rsidRPr="00FA3619" w14:paraId="0EE4F0E7" w14:textId="77777777" w:rsidTr="003442D8">
        <w:tc>
          <w:tcPr>
            <w:tcW w:w="4196" w:type="dxa"/>
            <w:gridSpan w:val="2"/>
            <w:vAlign w:val="center"/>
          </w:tcPr>
          <w:p w14:paraId="517701E6" w14:textId="55BA4440" w:rsidR="00DA369B" w:rsidRPr="00FA3619" w:rsidRDefault="00DA369B" w:rsidP="003442D8">
            <w:pPr>
              <w:ind w:right="92"/>
              <w:rPr>
                <w:rFonts w:ascii="Calibri" w:hAnsi="Calibri"/>
                <w:bCs/>
                <w:iCs/>
                <w:sz w:val="24"/>
                <w:szCs w:val="24"/>
              </w:rPr>
            </w:pPr>
            <w:r w:rsidRPr="00FA3619">
              <w:rPr>
                <w:rFonts w:ascii="Calibri" w:hAnsi="Calibri"/>
                <w:bCs/>
                <w:iCs/>
                <w:sz w:val="24"/>
                <w:szCs w:val="24"/>
              </w:rPr>
              <w:t xml:space="preserve">Ostali poslovni prihodi                               </w:t>
            </w:r>
          </w:p>
        </w:tc>
        <w:tc>
          <w:tcPr>
            <w:tcW w:w="1458" w:type="dxa"/>
            <w:tcBorders>
              <w:right w:val="single" w:sz="4" w:space="0" w:color="auto"/>
            </w:tcBorders>
            <w:vAlign w:val="center"/>
          </w:tcPr>
          <w:p w14:paraId="5D90C219" w14:textId="77777777" w:rsidR="00DA369B" w:rsidRPr="00FA3619" w:rsidRDefault="00DA369B" w:rsidP="003442D8">
            <w:pPr>
              <w:ind w:right="92"/>
              <w:jc w:val="both"/>
              <w:rPr>
                <w:rFonts w:ascii="Calibri" w:hAnsi="Calibri"/>
                <w:bCs/>
                <w:iCs/>
                <w:sz w:val="24"/>
                <w:szCs w:val="24"/>
              </w:rPr>
            </w:pPr>
            <w:r w:rsidRPr="00FA3619">
              <w:rPr>
                <w:rFonts w:ascii="Calibri" w:hAnsi="Calibri"/>
                <w:bCs/>
                <w:iCs/>
                <w:sz w:val="24"/>
                <w:szCs w:val="24"/>
              </w:rPr>
              <w:t xml:space="preserve"> b)</w:t>
            </w:r>
          </w:p>
        </w:tc>
        <w:tc>
          <w:tcPr>
            <w:tcW w:w="1715" w:type="dxa"/>
            <w:tcBorders>
              <w:left w:val="single" w:sz="4" w:space="0" w:color="auto"/>
              <w:bottom w:val="single" w:sz="4" w:space="0" w:color="auto"/>
              <w:right w:val="single" w:sz="4" w:space="0" w:color="auto"/>
            </w:tcBorders>
            <w:vAlign w:val="center"/>
          </w:tcPr>
          <w:p w14:paraId="1573285A" w14:textId="1736B814" w:rsidR="00DA369B" w:rsidRPr="00FA3619" w:rsidRDefault="005F6F7A" w:rsidP="00DA369B">
            <w:pPr>
              <w:jc w:val="right"/>
              <w:rPr>
                <w:rFonts w:ascii="Calibri" w:hAnsi="Calibri"/>
                <w:sz w:val="24"/>
                <w:szCs w:val="24"/>
              </w:rPr>
            </w:pPr>
            <w:r w:rsidRPr="00FA3619">
              <w:rPr>
                <w:rFonts w:ascii="Calibri" w:hAnsi="Calibri"/>
                <w:sz w:val="24"/>
                <w:szCs w:val="24"/>
              </w:rPr>
              <w:t>13.611.255,75</w:t>
            </w:r>
          </w:p>
        </w:tc>
        <w:tc>
          <w:tcPr>
            <w:tcW w:w="1689" w:type="dxa"/>
            <w:tcBorders>
              <w:left w:val="single" w:sz="4" w:space="0" w:color="auto"/>
              <w:bottom w:val="single" w:sz="4" w:space="0" w:color="auto"/>
              <w:right w:val="single" w:sz="4" w:space="0" w:color="auto"/>
            </w:tcBorders>
            <w:vAlign w:val="center"/>
          </w:tcPr>
          <w:p w14:paraId="7DDFD46A" w14:textId="4AC330F5" w:rsidR="00DA369B" w:rsidRPr="00FA3619" w:rsidRDefault="00DE5D61" w:rsidP="003442D8">
            <w:pPr>
              <w:jc w:val="right"/>
              <w:rPr>
                <w:rFonts w:ascii="Calibri" w:hAnsi="Calibri"/>
                <w:sz w:val="24"/>
                <w:szCs w:val="24"/>
              </w:rPr>
            </w:pPr>
            <w:r w:rsidRPr="00FA3619">
              <w:rPr>
                <w:rFonts w:ascii="Calibri" w:hAnsi="Calibri"/>
                <w:sz w:val="24"/>
                <w:szCs w:val="24"/>
              </w:rPr>
              <w:t>13.61</w:t>
            </w:r>
            <w:r w:rsidR="005F6F7A" w:rsidRPr="00FA3619">
              <w:rPr>
                <w:rFonts w:ascii="Calibri" w:hAnsi="Calibri"/>
                <w:sz w:val="24"/>
                <w:szCs w:val="24"/>
              </w:rPr>
              <w:t>4</w:t>
            </w:r>
            <w:r w:rsidRPr="00FA3619">
              <w:rPr>
                <w:rFonts w:ascii="Calibri" w:hAnsi="Calibri"/>
                <w:sz w:val="24"/>
                <w:szCs w:val="24"/>
              </w:rPr>
              <w:t>.</w:t>
            </w:r>
            <w:r w:rsidR="005F6F7A" w:rsidRPr="00FA3619">
              <w:rPr>
                <w:rFonts w:ascii="Calibri" w:hAnsi="Calibri"/>
                <w:sz w:val="24"/>
                <w:szCs w:val="24"/>
              </w:rPr>
              <w:t>022,80</w:t>
            </w:r>
          </w:p>
        </w:tc>
      </w:tr>
    </w:tbl>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1337EF" w:rsidRPr="00FA3619" w14:paraId="22CA23A9" w14:textId="77777777" w:rsidTr="00086014">
        <w:trPr>
          <w:trHeight w:val="300"/>
        </w:trPr>
        <w:tc>
          <w:tcPr>
            <w:tcW w:w="284" w:type="dxa"/>
            <w:tcBorders>
              <w:top w:val="nil"/>
              <w:left w:val="nil"/>
              <w:bottom w:val="nil"/>
              <w:right w:val="nil"/>
            </w:tcBorders>
            <w:shd w:val="clear" w:color="000000" w:fill="FFFFFF"/>
            <w:noWrap/>
            <w:vAlign w:val="bottom"/>
          </w:tcPr>
          <w:p w14:paraId="0943C8B0" w14:textId="152FCF2A" w:rsidR="001337EF" w:rsidRPr="00FA3619" w:rsidRDefault="001337EF" w:rsidP="00C960A5">
            <w:pPr>
              <w:spacing w:after="0" w:line="240" w:lineRule="auto"/>
              <w:rPr>
                <w:rFonts w:ascii="Calibri" w:eastAsia="Times New Roman" w:hAnsi="Calibri" w:cs="Calibri"/>
                <w:color w:val="000000"/>
                <w:lang w:eastAsia="hr-HR"/>
              </w:rPr>
            </w:pPr>
          </w:p>
        </w:tc>
        <w:tc>
          <w:tcPr>
            <w:tcW w:w="4451" w:type="dxa"/>
            <w:tcBorders>
              <w:top w:val="nil"/>
              <w:left w:val="nil"/>
              <w:bottom w:val="nil"/>
              <w:right w:val="nil"/>
            </w:tcBorders>
            <w:shd w:val="clear" w:color="000000" w:fill="FFFFFF"/>
            <w:vAlign w:val="center"/>
          </w:tcPr>
          <w:p w14:paraId="0876BB0B" w14:textId="34936253" w:rsidR="001337EF" w:rsidRPr="00FA3619" w:rsidRDefault="001337EF" w:rsidP="00C960A5">
            <w:pPr>
              <w:spacing w:after="0" w:line="240" w:lineRule="auto"/>
              <w:rPr>
                <w:rFonts w:ascii="Calibri" w:eastAsia="Times New Roman" w:hAnsi="Calibri" w:cs="Calibri"/>
                <w:b/>
                <w:bCs/>
                <w:color w:val="000000"/>
                <w:lang w:eastAsia="hr-HR"/>
              </w:rPr>
            </w:pPr>
          </w:p>
        </w:tc>
        <w:tc>
          <w:tcPr>
            <w:tcW w:w="1360" w:type="dxa"/>
            <w:tcBorders>
              <w:top w:val="nil"/>
              <w:left w:val="nil"/>
              <w:bottom w:val="nil"/>
              <w:right w:val="nil"/>
            </w:tcBorders>
            <w:shd w:val="clear" w:color="000000" w:fill="FFFFFF"/>
            <w:vAlign w:val="center"/>
          </w:tcPr>
          <w:p w14:paraId="4DF243D3" w14:textId="03DF9CEA" w:rsidR="001337EF" w:rsidRPr="00FA3619" w:rsidRDefault="001337EF" w:rsidP="00C960A5">
            <w:pPr>
              <w:spacing w:after="0" w:line="240" w:lineRule="auto"/>
              <w:jc w:val="right"/>
              <w:rPr>
                <w:rFonts w:ascii="Calibri" w:eastAsia="Times New Roman" w:hAnsi="Calibri" w:cs="Calibri"/>
                <w:b/>
                <w:bCs/>
                <w:color w:val="000000"/>
                <w:lang w:eastAsia="hr-HR"/>
              </w:rPr>
            </w:pPr>
          </w:p>
        </w:tc>
        <w:tc>
          <w:tcPr>
            <w:tcW w:w="1340" w:type="dxa"/>
            <w:tcBorders>
              <w:top w:val="nil"/>
              <w:left w:val="nil"/>
              <w:bottom w:val="nil"/>
              <w:right w:val="nil"/>
            </w:tcBorders>
            <w:shd w:val="clear" w:color="000000" w:fill="FFFFFF"/>
            <w:vAlign w:val="center"/>
          </w:tcPr>
          <w:p w14:paraId="6220E3A5" w14:textId="0FD1EF8D" w:rsidR="001337EF" w:rsidRPr="00FA3619" w:rsidRDefault="001337EF" w:rsidP="00C960A5">
            <w:pPr>
              <w:spacing w:after="0" w:line="240" w:lineRule="auto"/>
              <w:jc w:val="right"/>
              <w:rPr>
                <w:rFonts w:ascii="Calibri" w:eastAsia="Times New Roman" w:hAnsi="Calibri" w:cs="Calibri"/>
                <w:b/>
                <w:bCs/>
                <w:color w:val="000000"/>
                <w:lang w:eastAsia="hr-HR"/>
              </w:rPr>
            </w:pPr>
          </w:p>
        </w:tc>
      </w:tr>
    </w:tbl>
    <w:p w14:paraId="610E48AA" w14:textId="13B249BF" w:rsidR="0087334F" w:rsidRDefault="0087334F"/>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1337EF" w:rsidRPr="00FA3619" w14:paraId="77965DFE" w14:textId="77777777" w:rsidTr="00086014">
        <w:trPr>
          <w:trHeight w:val="300"/>
        </w:trPr>
        <w:tc>
          <w:tcPr>
            <w:tcW w:w="284" w:type="dxa"/>
            <w:tcBorders>
              <w:top w:val="nil"/>
              <w:left w:val="nil"/>
              <w:bottom w:val="nil"/>
              <w:right w:val="nil"/>
            </w:tcBorders>
            <w:shd w:val="clear" w:color="000000" w:fill="FFFFFF"/>
            <w:noWrap/>
            <w:vAlign w:val="bottom"/>
          </w:tcPr>
          <w:p w14:paraId="2A0A0D69" w14:textId="2F33609E" w:rsidR="001337EF" w:rsidRPr="00FA3619" w:rsidRDefault="001337EF" w:rsidP="00C960A5">
            <w:pPr>
              <w:spacing w:after="0" w:line="240" w:lineRule="auto"/>
              <w:rPr>
                <w:rFonts w:ascii="Calibri" w:eastAsia="Times New Roman" w:hAnsi="Calibri" w:cs="Calibri"/>
                <w:b/>
                <w:bCs/>
                <w:color w:val="000000"/>
                <w:sz w:val="24"/>
                <w:szCs w:val="24"/>
                <w:lang w:eastAsia="hr-HR"/>
              </w:rPr>
            </w:pPr>
          </w:p>
        </w:tc>
        <w:tc>
          <w:tcPr>
            <w:tcW w:w="4451" w:type="dxa"/>
            <w:tcBorders>
              <w:top w:val="nil"/>
              <w:left w:val="nil"/>
              <w:bottom w:val="nil"/>
              <w:right w:val="nil"/>
            </w:tcBorders>
            <w:shd w:val="clear" w:color="000000" w:fill="FFFFFF"/>
            <w:noWrap/>
            <w:vAlign w:val="bottom"/>
          </w:tcPr>
          <w:p w14:paraId="35D55954" w14:textId="145738DC" w:rsidR="001337EF" w:rsidRPr="000A6FC0" w:rsidRDefault="00C960A5" w:rsidP="000A6FC0">
            <w:pPr>
              <w:pStyle w:val="ListParagraph"/>
              <w:numPr>
                <w:ilvl w:val="0"/>
                <w:numId w:val="20"/>
              </w:numPr>
              <w:spacing w:after="0" w:line="240" w:lineRule="auto"/>
              <w:rPr>
                <w:rFonts w:ascii="Calibri" w:eastAsia="Times New Roman" w:hAnsi="Calibri" w:cs="Calibri"/>
                <w:color w:val="000000"/>
                <w:lang w:eastAsia="hr-HR"/>
              </w:rPr>
            </w:pPr>
            <w:r w:rsidRPr="000A6FC0">
              <w:rPr>
                <w:rFonts w:ascii="Calibri" w:eastAsia="Times New Roman" w:hAnsi="Calibri" w:cs="Times New Roman"/>
                <w:b/>
                <w:bCs/>
                <w:iCs/>
                <w:sz w:val="24"/>
                <w:szCs w:val="24"/>
              </w:rPr>
              <w:t xml:space="preserve">Prihodi od prodaje </w:t>
            </w:r>
          </w:p>
          <w:p w14:paraId="5EB12F97" w14:textId="5B891AC8" w:rsidR="000A6FC0" w:rsidRPr="000A6FC0" w:rsidRDefault="000A6FC0" w:rsidP="000A6FC0">
            <w:pPr>
              <w:pStyle w:val="ListParagraph"/>
              <w:spacing w:after="0" w:line="240" w:lineRule="auto"/>
              <w:rPr>
                <w:rFonts w:ascii="Calibri" w:eastAsia="Times New Roman" w:hAnsi="Calibri" w:cs="Calibri"/>
                <w:color w:val="000000"/>
                <w:lang w:eastAsia="hr-HR"/>
              </w:rPr>
            </w:pPr>
          </w:p>
        </w:tc>
        <w:tc>
          <w:tcPr>
            <w:tcW w:w="1360" w:type="dxa"/>
            <w:tcBorders>
              <w:top w:val="nil"/>
              <w:left w:val="nil"/>
              <w:bottom w:val="nil"/>
              <w:right w:val="nil"/>
            </w:tcBorders>
            <w:shd w:val="clear" w:color="000000" w:fill="FFFFFF"/>
            <w:noWrap/>
            <w:vAlign w:val="bottom"/>
          </w:tcPr>
          <w:p w14:paraId="4E7B9869" w14:textId="30822EEA" w:rsidR="001337EF" w:rsidRPr="00FA3619" w:rsidRDefault="001337EF" w:rsidP="00C960A5">
            <w:pPr>
              <w:spacing w:after="0" w:line="240" w:lineRule="auto"/>
              <w:rPr>
                <w:rFonts w:ascii="Calibri" w:eastAsia="Times New Roman" w:hAnsi="Calibri" w:cs="Calibri"/>
                <w:color w:val="000000"/>
                <w:lang w:eastAsia="hr-HR"/>
              </w:rPr>
            </w:pPr>
          </w:p>
        </w:tc>
        <w:tc>
          <w:tcPr>
            <w:tcW w:w="1340" w:type="dxa"/>
            <w:tcBorders>
              <w:top w:val="nil"/>
              <w:left w:val="nil"/>
              <w:bottom w:val="nil"/>
              <w:right w:val="nil"/>
            </w:tcBorders>
            <w:shd w:val="clear" w:color="000000" w:fill="FFFFFF"/>
            <w:noWrap/>
            <w:vAlign w:val="bottom"/>
          </w:tcPr>
          <w:p w14:paraId="7692C4D7" w14:textId="27959502" w:rsidR="001337EF" w:rsidRPr="00FA3619" w:rsidRDefault="001337EF" w:rsidP="00C960A5">
            <w:pPr>
              <w:spacing w:after="0" w:line="240" w:lineRule="auto"/>
              <w:rPr>
                <w:rFonts w:ascii="Calibri" w:eastAsia="Times New Roman" w:hAnsi="Calibri" w:cs="Calibri"/>
                <w:color w:val="000000"/>
                <w:lang w:eastAsia="hr-HR"/>
              </w:rPr>
            </w:pPr>
          </w:p>
        </w:tc>
      </w:tr>
    </w:tbl>
    <w:p w14:paraId="0F830532" w14:textId="1220CD2B" w:rsidR="00C960A5" w:rsidRPr="00FA3619" w:rsidRDefault="00C960A5" w:rsidP="000A6FC0">
      <w:pPr>
        <w:spacing w:after="0" w:line="240" w:lineRule="auto"/>
        <w:ind w:right="92"/>
        <w:contextualSpacing/>
        <w:jc w:val="both"/>
        <w:rPr>
          <w:bCs/>
          <w:iCs/>
        </w:rPr>
      </w:pPr>
      <w:r w:rsidRPr="00FA3619">
        <w:rPr>
          <w:rFonts w:ascii="Calibri" w:eastAsia="Times New Roman" w:hAnsi="Calibri" w:cs="Times New Roman"/>
          <w:b/>
          <w:bCs/>
          <w:iCs/>
          <w:sz w:val="24"/>
          <w:szCs w:val="24"/>
        </w:rPr>
        <w:br w:type="textWrapping" w:clear="all"/>
      </w:r>
      <w:bookmarkStart w:id="11" w:name="_MON_1680935949"/>
      <w:bookmarkEnd w:id="11"/>
      <w:r w:rsidR="000A6FC0" w:rsidRPr="00FA3619">
        <w:rPr>
          <w:bCs/>
          <w:iCs/>
        </w:rPr>
        <w:object w:dxaOrig="9509" w:dyaOrig="4957" w14:anchorId="54BAC553">
          <v:shape id="_x0000_i1026" type="#_x0000_t75" style="width:450pt;height:241.5pt" o:ole="">
            <v:imagedata r:id="rId11" o:title=""/>
          </v:shape>
          <o:OLEObject Type="Embed" ProgID="Excel.Sheet.12" ShapeID="_x0000_i1026" DrawAspect="Content" ObjectID="_1684915219" r:id="rId12"/>
        </w:object>
      </w:r>
    </w:p>
    <w:p w14:paraId="551BFF3A" w14:textId="6872CAED" w:rsidR="00C960A5" w:rsidRPr="00FA3619" w:rsidRDefault="00C960A5" w:rsidP="00C960A5">
      <w:pPr>
        <w:spacing w:after="0" w:line="240" w:lineRule="auto"/>
        <w:ind w:right="92"/>
        <w:contextualSpacing/>
        <w:jc w:val="both"/>
        <w:rPr>
          <w:rFonts w:ascii="Calibri" w:eastAsia="Times New Roman" w:hAnsi="Calibri" w:cs="Times New Roman"/>
          <w:b/>
          <w:bCs/>
          <w:iCs/>
          <w:sz w:val="24"/>
          <w:szCs w:val="24"/>
        </w:rPr>
      </w:pPr>
    </w:p>
    <w:p w14:paraId="2B7E306C" w14:textId="77777777" w:rsidR="00C960A5" w:rsidRPr="00FA3619" w:rsidRDefault="00C960A5" w:rsidP="00C960A5">
      <w:pPr>
        <w:spacing w:after="0" w:line="240" w:lineRule="auto"/>
        <w:ind w:right="92"/>
        <w:jc w:val="both"/>
        <w:rPr>
          <w:rFonts w:ascii="Calibri" w:eastAsia="Times New Roman" w:hAnsi="Calibri" w:cs="Times New Roman"/>
          <w:bCs/>
          <w:iCs/>
          <w:sz w:val="10"/>
          <w:szCs w:val="10"/>
        </w:rPr>
      </w:pPr>
    </w:p>
    <w:p w14:paraId="23146B4A" w14:textId="26555497" w:rsidR="00C960A5" w:rsidRPr="00FA3619" w:rsidRDefault="00C960A5" w:rsidP="00C960A5">
      <w:pPr>
        <w:tabs>
          <w:tab w:val="left" w:pos="1134"/>
        </w:tabs>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
          <w:bCs/>
          <w:iCs/>
          <w:sz w:val="24"/>
          <w:szCs w:val="24"/>
        </w:rPr>
        <w:t>/i/</w:t>
      </w:r>
      <w:r w:rsidRPr="00FA3619">
        <w:rPr>
          <w:rFonts w:ascii="Calibri" w:eastAsia="Times New Roman" w:hAnsi="Calibri" w:cs="Times New Roman"/>
          <w:bCs/>
          <w:iCs/>
          <w:sz w:val="24"/>
          <w:szCs w:val="24"/>
        </w:rPr>
        <w:tab/>
      </w:r>
      <w:r w:rsidR="00896A24" w:rsidRPr="00FA3619">
        <w:rPr>
          <w:rFonts w:ascii="Calibri" w:eastAsia="Times New Roman" w:hAnsi="Calibri" w:cs="Times New Roman"/>
          <w:bCs/>
          <w:iCs/>
          <w:sz w:val="24"/>
          <w:szCs w:val="24"/>
        </w:rPr>
        <w:t>Novi</w:t>
      </w:r>
      <w:r w:rsidRPr="00FA3619">
        <w:rPr>
          <w:rFonts w:ascii="Calibri" w:eastAsia="Times New Roman" w:hAnsi="Calibri" w:cs="Times New Roman"/>
          <w:bCs/>
          <w:iCs/>
          <w:sz w:val="24"/>
          <w:szCs w:val="24"/>
        </w:rPr>
        <w:t xml:space="preserve"> priključ</w:t>
      </w:r>
      <w:r w:rsidR="00896A24" w:rsidRPr="00FA3619">
        <w:rPr>
          <w:rFonts w:ascii="Calibri" w:eastAsia="Times New Roman" w:hAnsi="Calibri" w:cs="Times New Roman"/>
          <w:bCs/>
          <w:iCs/>
          <w:sz w:val="24"/>
          <w:szCs w:val="24"/>
        </w:rPr>
        <w:t>ci</w:t>
      </w:r>
      <w:r w:rsidRPr="00FA3619">
        <w:rPr>
          <w:rFonts w:ascii="Calibri" w:eastAsia="Times New Roman" w:hAnsi="Calibri" w:cs="Times New Roman"/>
          <w:bCs/>
          <w:iCs/>
          <w:sz w:val="24"/>
          <w:szCs w:val="24"/>
        </w:rPr>
        <w:t xml:space="preserve"> na sustav javne </w:t>
      </w:r>
      <w:r w:rsidR="00FD1172" w:rsidRPr="00FA3619">
        <w:rPr>
          <w:rFonts w:ascii="Calibri" w:eastAsia="Times New Roman" w:hAnsi="Calibri" w:cs="Times New Roman"/>
          <w:bCs/>
          <w:iCs/>
          <w:sz w:val="24"/>
          <w:szCs w:val="24"/>
        </w:rPr>
        <w:t xml:space="preserve">vodoopskrbe </w:t>
      </w:r>
      <w:r w:rsidR="00896A24" w:rsidRPr="00FA3619">
        <w:rPr>
          <w:rFonts w:ascii="Calibri" w:eastAsia="Times New Roman" w:hAnsi="Calibri" w:cs="Times New Roman"/>
          <w:bCs/>
          <w:iCs/>
          <w:sz w:val="24"/>
          <w:szCs w:val="24"/>
        </w:rPr>
        <w:t>utjecali su</w:t>
      </w:r>
      <w:r w:rsidRPr="00FA3619">
        <w:rPr>
          <w:rFonts w:ascii="Calibri" w:eastAsia="Times New Roman" w:hAnsi="Calibri" w:cs="Times New Roman"/>
          <w:bCs/>
          <w:iCs/>
          <w:sz w:val="24"/>
          <w:szCs w:val="24"/>
        </w:rPr>
        <w:t xml:space="preserve"> na povećanj</w:t>
      </w:r>
      <w:r w:rsidR="00896A24" w:rsidRPr="00FA3619">
        <w:rPr>
          <w:rFonts w:ascii="Calibri" w:eastAsia="Times New Roman" w:hAnsi="Calibri" w:cs="Times New Roman"/>
          <w:bCs/>
          <w:iCs/>
          <w:sz w:val="24"/>
          <w:szCs w:val="24"/>
        </w:rPr>
        <w:t>e</w:t>
      </w:r>
      <w:r w:rsidRPr="00FA3619">
        <w:rPr>
          <w:rFonts w:ascii="Calibri" w:eastAsia="Times New Roman" w:hAnsi="Calibri" w:cs="Times New Roman"/>
          <w:bCs/>
          <w:iCs/>
          <w:sz w:val="24"/>
          <w:szCs w:val="24"/>
        </w:rPr>
        <w:t xml:space="preserve"> prihoda ostvarenog od fiksnog dijela cijene </w:t>
      </w:r>
      <w:r w:rsidR="00FD1172" w:rsidRPr="00FA3619">
        <w:rPr>
          <w:rFonts w:ascii="Calibri" w:eastAsia="Times New Roman" w:hAnsi="Calibri" w:cs="Times New Roman"/>
          <w:bCs/>
          <w:iCs/>
          <w:sz w:val="24"/>
          <w:szCs w:val="24"/>
        </w:rPr>
        <w:t>vode</w:t>
      </w:r>
      <w:r w:rsidRPr="00FA3619">
        <w:rPr>
          <w:rFonts w:ascii="Calibri" w:eastAsia="Times New Roman" w:hAnsi="Calibri" w:cs="Times New Roman"/>
          <w:bCs/>
          <w:iCs/>
          <w:sz w:val="24"/>
          <w:szCs w:val="24"/>
        </w:rPr>
        <w:t xml:space="preserve"> za </w:t>
      </w:r>
      <w:r w:rsidR="00FD1172" w:rsidRPr="00FA3619">
        <w:rPr>
          <w:rFonts w:ascii="Calibri" w:eastAsia="Times New Roman" w:hAnsi="Calibri" w:cs="Times New Roman"/>
          <w:bCs/>
          <w:iCs/>
          <w:sz w:val="24"/>
          <w:szCs w:val="24"/>
        </w:rPr>
        <w:t>345.425,28</w:t>
      </w:r>
      <w:r w:rsidRPr="00FA3619">
        <w:rPr>
          <w:rFonts w:ascii="Calibri" w:eastAsia="Times New Roman" w:hAnsi="Calibri" w:cs="Times New Roman"/>
          <w:bCs/>
          <w:iCs/>
          <w:sz w:val="24"/>
          <w:szCs w:val="24"/>
        </w:rPr>
        <w:t xml:space="preserve"> kn</w:t>
      </w:r>
      <w:r w:rsidR="00DA77F7" w:rsidRPr="00FA3619">
        <w:rPr>
          <w:rFonts w:ascii="Calibri" w:eastAsia="Times New Roman" w:hAnsi="Calibri" w:cs="Times New Roman"/>
          <w:bCs/>
          <w:iCs/>
          <w:sz w:val="24"/>
          <w:szCs w:val="24"/>
        </w:rPr>
        <w:t xml:space="preserve"> u odnosu na prošlu godinu.</w:t>
      </w:r>
      <w:r w:rsidRPr="00FA3619">
        <w:rPr>
          <w:rFonts w:ascii="Calibri" w:eastAsia="Times New Roman" w:hAnsi="Calibri" w:cs="Times New Roman"/>
          <w:bCs/>
          <w:iCs/>
          <w:sz w:val="24"/>
          <w:szCs w:val="24"/>
        </w:rPr>
        <w:t xml:space="preserve">  </w:t>
      </w:r>
    </w:p>
    <w:p w14:paraId="7E0ECE60" w14:textId="77777777" w:rsidR="00896A24" w:rsidRPr="00FA3619" w:rsidRDefault="00FD1172" w:rsidP="00896A24">
      <w:pPr>
        <w:tabs>
          <w:tab w:val="left" w:pos="1134"/>
        </w:tabs>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ab/>
      </w:r>
      <w:r w:rsidR="00AD63D5" w:rsidRPr="00FA3619">
        <w:rPr>
          <w:rFonts w:ascii="Calibri" w:eastAsia="Times New Roman" w:hAnsi="Calibri" w:cs="Times New Roman"/>
          <w:bCs/>
          <w:iCs/>
          <w:sz w:val="24"/>
          <w:szCs w:val="24"/>
        </w:rPr>
        <w:t>Ulaganja u javnu odvodnju pridonijel</w:t>
      </w:r>
      <w:r w:rsidR="00896A24" w:rsidRPr="00FA3619">
        <w:rPr>
          <w:rFonts w:ascii="Calibri" w:eastAsia="Times New Roman" w:hAnsi="Calibri" w:cs="Times New Roman"/>
          <w:bCs/>
          <w:iCs/>
          <w:sz w:val="24"/>
          <w:szCs w:val="24"/>
        </w:rPr>
        <w:t>a su povećanju broja priključenosti na sustav javne odvodnje te su se</w:t>
      </w:r>
      <w:r w:rsidR="00AD63D5" w:rsidRPr="00FA3619">
        <w:rPr>
          <w:rFonts w:ascii="Calibri" w:eastAsia="Times New Roman" w:hAnsi="Calibri" w:cs="Times New Roman"/>
          <w:bCs/>
          <w:iCs/>
          <w:sz w:val="24"/>
          <w:szCs w:val="24"/>
        </w:rPr>
        <w:t xml:space="preserve"> poveća</w:t>
      </w:r>
      <w:r w:rsidR="00896A24" w:rsidRPr="00FA3619">
        <w:rPr>
          <w:rFonts w:ascii="Calibri" w:eastAsia="Times New Roman" w:hAnsi="Calibri" w:cs="Times New Roman"/>
          <w:bCs/>
          <w:iCs/>
          <w:sz w:val="24"/>
          <w:szCs w:val="24"/>
        </w:rPr>
        <w:t>li</w:t>
      </w:r>
      <w:r w:rsidR="00AD63D5" w:rsidRPr="00FA3619">
        <w:rPr>
          <w:rFonts w:ascii="Calibri" w:eastAsia="Times New Roman" w:hAnsi="Calibri" w:cs="Times New Roman"/>
          <w:bCs/>
          <w:iCs/>
          <w:sz w:val="24"/>
          <w:szCs w:val="24"/>
        </w:rPr>
        <w:t xml:space="preserve"> prihod</w:t>
      </w:r>
      <w:r w:rsidR="00896A24" w:rsidRPr="00FA3619">
        <w:rPr>
          <w:rFonts w:ascii="Calibri" w:eastAsia="Times New Roman" w:hAnsi="Calibri" w:cs="Times New Roman"/>
          <w:bCs/>
          <w:iCs/>
          <w:sz w:val="24"/>
          <w:szCs w:val="24"/>
        </w:rPr>
        <w:t>i</w:t>
      </w:r>
      <w:r w:rsidR="00AD63D5" w:rsidRPr="00FA3619">
        <w:rPr>
          <w:rFonts w:ascii="Calibri" w:eastAsia="Times New Roman" w:hAnsi="Calibri" w:cs="Times New Roman"/>
          <w:bCs/>
          <w:iCs/>
          <w:sz w:val="24"/>
          <w:szCs w:val="24"/>
        </w:rPr>
        <w:t xml:space="preserve"> fiksnog dijela cijene </w:t>
      </w:r>
      <w:r w:rsidR="00896A24" w:rsidRPr="00FA3619">
        <w:rPr>
          <w:rFonts w:ascii="Calibri" w:eastAsia="Times New Roman" w:hAnsi="Calibri" w:cs="Times New Roman"/>
          <w:bCs/>
          <w:iCs/>
          <w:sz w:val="24"/>
          <w:szCs w:val="24"/>
        </w:rPr>
        <w:t>odvodnje</w:t>
      </w:r>
      <w:r w:rsidR="00AD63D5" w:rsidRPr="00FA3619">
        <w:rPr>
          <w:rFonts w:ascii="Calibri" w:eastAsia="Times New Roman" w:hAnsi="Calibri" w:cs="Times New Roman"/>
          <w:bCs/>
          <w:iCs/>
          <w:sz w:val="24"/>
          <w:szCs w:val="24"/>
        </w:rPr>
        <w:t xml:space="preserve"> </w:t>
      </w:r>
      <w:r w:rsidR="00896A24" w:rsidRPr="00FA3619">
        <w:rPr>
          <w:rFonts w:ascii="Calibri" w:eastAsia="Times New Roman" w:hAnsi="Calibri" w:cs="Times New Roman"/>
          <w:bCs/>
          <w:iCs/>
          <w:sz w:val="24"/>
          <w:szCs w:val="24"/>
        </w:rPr>
        <w:t xml:space="preserve">u odnosu na 2019. godinu </w:t>
      </w:r>
      <w:r w:rsidR="00AD63D5" w:rsidRPr="00FA3619">
        <w:rPr>
          <w:rFonts w:ascii="Calibri" w:eastAsia="Times New Roman" w:hAnsi="Calibri" w:cs="Times New Roman"/>
          <w:bCs/>
          <w:iCs/>
          <w:sz w:val="24"/>
          <w:szCs w:val="24"/>
        </w:rPr>
        <w:t>za</w:t>
      </w:r>
      <w:r w:rsidR="00DA77F7" w:rsidRPr="00FA3619">
        <w:rPr>
          <w:rFonts w:ascii="Calibri" w:eastAsia="Times New Roman" w:hAnsi="Calibri" w:cs="Times New Roman"/>
          <w:bCs/>
          <w:iCs/>
          <w:sz w:val="24"/>
          <w:szCs w:val="24"/>
        </w:rPr>
        <w:t xml:space="preserve"> 307.870,82 kn.</w:t>
      </w:r>
      <w:r w:rsidR="00AD63D5" w:rsidRPr="00FA3619">
        <w:rPr>
          <w:rFonts w:ascii="Calibri" w:eastAsia="Times New Roman" w:hAnsi="Calibri" w:cs="Times New Roman"/>
          <w:bCs/>
          <w:iCs/>
          <w:sz w:val="24"/>
          <w:szCs w:val="24"/>
        </w:rPr>
        <w:t xml:space="preserve"> </w:t>
      </w:r>
    </w:p>
    <w:p w14:paraId="30965E66" w14:textId="29A707A7" w:rsidR="00896A24" w:rsidRPr="00FA3619" w:rsidRDefault="00896A24" w:rsidP="00896A24">
      <w:pPr>
        <w:tabs>
          <w:tab w:val="left" w:pos="1134"/>
        </w:tabs>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ab/>
        <w:t xml:space="preserve">Povećanja se prvenstveno odnose na domaćinstva. </w:t>
      </w:r>
    </w:p>
    <w:p w14:paraId="6FDB87E8" w14:textId="77777777" w:rsidR="00C960A5" w:rsidRPr="00FA3619" w:rsidRDefault="00C960A5" w:rsidP="00C960A5">
      <w:pPr>
        <w:tabs>
          <w:tab w:val="left" w:pos="1134"/>
        </w:tabs>
        <w:spacing w:after="0" w:line="240" w:lineRule="auto"/>
        <w:ind w:right="92"/>
        <w:jc w:val="both"/>
        <w:rPr>
          <w:rFonts w:ascii="Calibri" w:eastAsia="Times New Roman" w:hAnsi="Calibri" w:cs="Times New Roman"/>
          <w:bCs/>
          <w:iCs/>
          <w:sz w:val="24"/>
          <w:szCs w:val="24"/>
        </w:rPr>
      </w:pPr>
    </w:p>
    <w:p w14:paraId="53F9CBA9" w14:textId="4D7C1CE7" w:rsidR="00C960A5" w:rsidRDefault="00C960A5" w:rsidP="00C960A5">
      <w:pPr>
        <w:tabs>
          <w:tab w:val="left" w:pos="1134"/>
        </w:tabs>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
          <w:bCs/>
          <w:iCs/>
          <w:sz w:val="24"/>
          <w:szCs w:val="24"/>
        </w:rPr>
        <w:t>/ii/</w:t>
      </w:r>
      <w:r w:rsidRPr="00FA3619">
        <w:rPr>
          <w:rFonts w:ascii="Calibri" w:eastAsia="Times New Roman" w:hAnsi="Calibri" w:cs="Times New Roman"/>
          <w:bCs/>
          <w:iCs/>
          <w:sz w:val="24"/>
          <w:szCs w:val="24"/>
        </w:rPr>
        <w:tab/>
      </w:r>
      <w:r w:rsidR="00931175" w:rsidRPr="00FA3619">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20</w:t>
      </w:r>
      <w:r w:rsidR="00FD1172" w:rsidRPr="00FA3619">
        <w:rPr>
          <w:rFonts w:ascii="Calibri" w:eastAsia="Times New Roman" w:hAnsi="Calibri" w:cs="Times New Roman"/>
          <w:bCs/>
          <w:iCs/>
          <w:sz w:val="24"/>
          <w:szCs w:val="24"/>
        </w:rPr>
        <w:t>20</w:t>
      </w:r>
      <w:r w:rsidRPr="00FA3619">
        <w:rPr>
          <w:rFonts w:ascii="Calibri" w:eastAsia="Times New Roman" w:hAnsi="Calibri" w:cs="Times New Roman"/>
          <w:bCs/>
          <w:iCs/>
          <w:sz w:val="24"/>
          <w:szCs w:val="24"/>
        </w:rPr>
        <w:t xml:space="preserve">. godini </w:t>
      </w:r>
      <w:r w:rsidR="00931175" w:rsidRPr="00FA3619">
        <w:rPr>
          <w:rFonts w:ascii="Calibri" w:eastAsia="Times New Roman" w:hAnsi="Calibri" w:cs="Times New Roman"/>
          <w:bCs/>
          <w:iCs/>
          <w:sz w:val="24"/>
          <w:szCs w:val="24"/>
        </w:rPr>
        <w:t xml:space="preserve">potrošnja vode </w:t>
      </w:r>
      <w:r w:rsidR="005F191F" w:rsidRPr="00FA3619">
        <w:rPr>
          <w:rFonts w:ascii="Calibri" w:eastAsia="Times New Roman" w:hAnsi="Calibri" w:cs="Times New Roman"/>
          <w:bCs/>
          <w:iCs/>
          <w:sz w:val="24"/>
          <w:szCs w:val="24"/>
        </w:rPr>
        <w:t>od 2.434.126 m</w:t>
      </w:r>
      <w:r w:rsidR="005F191F" w:rsidRPr="00FA3619">
        <w:rPr>
          <w:rFonts w:ascii="Calibri" w:eastAsia="Times New Roman" w:hAnsi="Calibri" w:cs="Times New Roman"/>
          <w:bCs/>
          <w:iCs/>
          <w:sz w:val="24"/>
          <w:szCs w:val="24"/>
          <w:vertAlign w:val="superscript"/>
        </w:rPr>
        <w:t>3</w:t>
      </w:r>
      <w:r w:rsidR="005F191F" w:rsidRPr="00FA3619">
        <w:rPr>
          <w:rFonts w:ascii="Calibri" w:eastAsia="Times New Roman" w:hAnsi="Calibri" w:cs="Times New Roman"/>
          <w:bCs/>
          <w:iCs/>
          <w:sz w:val="24"/>
          <w:szCs w:val="24"/>
        </w:rPr>
        <w:t xml:space="preserve"> </w:t>
      </w:r>
      <w:r w:rsidR="00931175" w:rsidRPr="00FA3619">
        <w:rPr>
          <w:rFonts w:ascii="Calibri" w:eastAsia="Times New Roman" w:hAnsi="Calibri" w:cs="Times New Roman"/>
          <w:bCs/>
          <w:iCs/>
          <w:sz w:val="24"/>
          <w:szCs w:val="24"/>
        </w:rPr>
        <w:t xml:space="preserve">je </w:t>
      </w:r>
      <w:r w:rsidR="005F191F" w:rsidRPr="00FA3619">
        <w:rPr>
          <w:rFonts w:ascii="Calibri" w:eastAsia="Times New Roman" w:hAnsi="Calibri" w:cs="Times New Roman"/>
          <w:bCs/>
          <w:iCs/>
          <w:sz w:val="24"/>
          <w:szCs w:val="24"/>
        </w:rPr>
        <w:t>manja od prošlogodišnje (2019.=2.843.380 m</w:t>
      </w:r>
      <w:r w:rsidR="005F191F" w:rsidRPr="00FA3619">
        <w:rPr>
          <w:rFonts w:ascii="Calibri" w:eastAsia="Times New Roman" w:hAnsi="Calibri" w:cs="Times New Roman"/>
          <w:bCs/>
          <w:iCs/>
          <w:sz w:val="24"/>
          <w:szCs w:val="24"/>
          <w:vertAlign w:val="superscript"/>
        </w:rPr>
        <w:t>3</w:t>
      </w:r>
      <w:r w:rsidR="005F191F" w:rsidRPr="00FA3619">
        <w:rPr>
          <w:rFonts w:ascii="Calibri" w:eastAsia="Times New Roman" w:hAnsi="Calibri" w:cs="Times New Roman"/>
          <w:bCs/>
          <w:iCs/>
          <w:sz w:val="24"/>
          <w:szCs w:val="24"/>
        </w:rPr>
        <w:t xml:space="preserve">)  </w:t>
      </w:r>
      <w:r w:rsidR="00931175" w:rsidRPr="00FA3619">
        <w:rPr>
          <w:rFonts w:ascii="Calibri" w:eastAsia="Times New Roman" w:hAnsi="Calibri" w:cs="Times New Roman"/>
          <w:bCs/>
          <w:iCs/>
          <w:sz w:val="24"/>
          <w:szCs w:val="24"/>
        </w:rPr>
        <w:t>za 409.254 m</w:t>
      </w:r>
      <w:r w:rsidR="00931175" w:rsidRPr="00FA3619">
        <w:rPr>
          <w:rFonts w:ascii="Calibri" w:eastAsia="Times New Roman" w:hAnsi="Calibri" w:cs="Times New Roman"/>
          <w:bCs/>
          <w:iCs/>
          <w:sz w:val="24"/>
          <w:szCs w:val="24"/>
          <w:vertAlign w:val="superscript"/>
        </w:rPr>
        <w:t>3</w:t>
      </w:r>
      <w:r w:rsidR="00931175" w:rsidRPr="00FA3619">
        <w:rPr>
          <w:rFonts w:ascii="Calibri" w:eastAsia="Times New Roman" w:hAnsi="Calibri" w:cs="Times New Roman"/>
          <w:bCs/>
          <w:iCs/>
          <w:sz w:val="24"/>
          <w:szCs w:val="24"/>
        </w:rPr>
        <w:t xml:space="preserve"> </w:t>
      </w:r>
      <w:bookmarkStart w:id="12" w:name="_Hlk72912565"/>
      <w:r w:rsidR="00931175" w:rsidRPr="00FA3619">
        <w:rPr>
          <w:rFonts w:ascii="Calibri" w:eastAsia="Times New Roman" w:hAnsi="Calibri" w:cs="Times New Roman"/>
          <w:bCs/>
          <w:iCs/>
          <w:sz w:val="24"/>
          <w:szCs w:val="24"/>
        </w:rPr>
        <w:t>(privreda -323.611 m</w:t>
      </w:r>
      <w:r w:rsidR="00931175" w:rsidRPr="00FA3619">
        <w:rPr>
          <w:rFonts w:ascii="Calibri" w:eastAsia="Times New Roman" w:hAnsi="Calibri" w:cs="Times New Roman"/>
          <w:bCs/>
          <w:iCs/>
          <w:sz w:val="24"/>
          <w:szCs w:val="24"/>
          <w:vertAlign w:val="superscript"/>
        </w:rPr>
        <w:t>3</w:t>
      </w:r>
      <w:r w:rsidR="00931175" w:rsidRPr="00FA3619">
        <w:rPr>
          <w:rFonts w:ascii="Calibri" w:eastAsia="Times New Roman" w:hAnsi="Calibri" w:cs="Times New Roman"/>
          <w:bCs/>
          <w:iCs/>
          <w:sz w:val="24"/>
          <w:szCs w:val="24"/>
        </w:rPr>
        <w:t xml:space="preserve">, domaćinstva </w:t>
      </w:r>
      <w:r w:rsidR="000F6F05" w:rsidRPr="00FA3619">
        <w:rPr>
          <w:rFonts w:ascii="Calibri" w:eastAsia="Times New Roman" w:hAnsi="Calibri" w:cs="Times New Roman"/>
          <w:bCs/>
          <w:iCs/>
          <w:sz w:val="24"/>
          <w:szCs w:val="24"/>
        </w:rPr>
        <w:t>-</w:t>
      </w:r>
      <w:r w:rsidR="00931175" w:rsidRPr="00FA3619">
        <w:rPr>
          <w:rFonts w:ascii="Calibri" w:eastAsia="Times New Roman" w:hAnsi="Calibri" w:cs="Times New Roman"/>
          <w:bCs/>
          <w:iCs/>
          <w:sz w:val="24"/>
          <w:szCs w:val="24"/>
        </w:rPr>
        <w:t>85.643 m</w:t>
      </w:r>
      <w:r w:rsidR="00931175" w:rsidRPr="00FA3619">
        <w:rPr>
          <w:rFonts w:ascii="Calibri" w:eastAsia="Times New Roman" w:hAnsi="Calibri" w:cs="Times New Roman"/>
          <w:bCs/>
          <w:iCs/>
          <w:sz w:val="24"/>
          <w:szCs w:val="24"/>
          <w:vertAlign w:val="superscript"/>
        </w:rPr>
        <w:t>3</w:t>
      </w:r>
      <w:r w:rsidR="00931175" w:rsidRPr="00FA3619">
        <w:rPr>
          <w:rFonts w:ascii="Calibri" w:eastAsia="Times New Roman" w:hAnsi="Calibri" w:cs="Times New Roman"/>
          <w:bCs/>
          <w:iCs/>
          <w:sz w:val="24"/>
          <w:szCs w:val="24"/>
        </w:rPr>
        <w:t>)</w:t>
      </w:r>
      <w:r w:rsidR="005F191F" w:rsidRPr="00FA3619">
        <w:rPr>
          <w:rFonts w:ascii="Calibri" w:eastAsia="Times New Roman" w:hAnsi="Calibri" w:cs="Times New Roman"/>
          <w:bCs/>
          <w:iCs/>
          <w:sz w:val="24"/>
          <w:szCs w:val="24"/>
        </w:rPr>
        <w:t xml:space="preserve"> </w:t>
      </w:r>
      <w:bookmarkEnd w:id="12"/>
      <w:r w:rsidR="00931175" w:rsidRPr="00FA3619">
        <w:rPr>
          <w:rFonts w:ascii="Calibri" w:eastAsia="Times New Roman" w:hAnsi="Calibri" w:cs="Times New Roman"/>
          <w:bCs/>
          <w:iCs/>
          <w:sz w:val="24"/>
          <w:szCs w:val="24"/>
        </w:rPr>
        <w:t xml:space="preserve">pa </w:t>
      </w:r>
      <w:r w:rsidR="006A1534" w:rsidRPr="00FA3619">
        <w:rPr>
          <w:rFonts w:ascii="Calibri" w:eastAsia="Times New Roman" w:hAnsi="Calibri" w:cs="Times New Roman"/>
          <w:bCs/>
          <w:iCs/>
          <w:sz w:val="24"/>
          <w:szCs w:val="24"/>
        </w:rPr>
        <w:t>su</w:t>
      </w:r>
      <w:r w:rsidR="00931175" w:rsidRPr="00FA3619">
        <w:rPr>
          <w:rFonts w:ascii="Calibri" w:eastAsia="Times New Roman" w:hAnsi="Calibri" w:cs="Times New Roman"/>
          <w:bCs/>
          <w:iCs/>
          <w:sz w:val="24"/>
          <w:szCs w:val="24"/>
        </w:rPr>
        <w:t xml:space="preserve"> i prihod</w:t>
      </w:r>
      <w:r w:rsidR="005F191F" w:rsidRPr="00FA3619">
        <w:rPr>
          <w:rFonts w:ascii="Calibri" w:eastAsia="Times New Roman" w:hAnsi="Calibri" w:cs="Times New Roman"/>
          <w:bCs/>
          <w:iCs/>
          <w:sz w:val="24"/>
          <w:szCs w:val="24"/>
        </w:rPr>
        <w:t>i</w:t>
      </w:r>
      <w:r w:rsidR="00931175" w:rsidRPr="00FA3619">
        <w:rPr>
          <w:rFonts w:ascii="Calibri" w:eastAsia="Times New Roman" w:hAnsi="Calibri" w:cs="Times New Roman"/>
          <w:bCs/>
          <w:iCs/>
          <w:sz w:val="24"/>
          <w:szCs w:val="24"/>
        </w:rPr>
        <w:t xml:space="preserve"> varijabilnog dijela cijene vode manji za 3.786.866,05 kn</w:t>
      </w:r>
      <w:r w:rsidR="005F191F" w:rsidRPr="00FA3619">
        <w:rPr>
          <w:rFonts w:ascii="Calibri" w:eastAsia="Times New Roman" w:hAnsi="Calibri" w:cs="Times New Roman"/>
          <w:bCs/>
          <w:iCs/>
          <w:sz w:val="24"/>
          <w:szCs w:val="24"/>
        </w:rPr>
        <w:t xml:space="preserve"> (privreda </w:t>
      </w:r>
      <w:r w:rsidR="000F6F05" w:rsidRPr="00FA3619">
        <w:rPr>
          <w:rFonts w:ascii="Calibri" w:eastAsia="Times New Roman" w:hAnsi="Calibri" w:cs="Times New Roman"/>
          <w:bCs/>
          <w:iCs/>
          <w:sz w:val="24"/>
          <w:szCs w:val="24"/>
        </w:rPr>
        <w:t>-3.432.725 kn</w:t>
      </w:r>
      <w:r w:rsidR="005F191F" w:rsidRPr="00FA3619">
        <w:rPr>
          <w:rFonts w:ascii="Calibri" w:eastAsia="Times New Roman" w:hAnsi="Calibri" w:cs="Times New Roman"/>
          <w:bCs/>
          <w:iCs/>
          <w:sz w:val="24"/>
          <w:szCs w:val="24"/>
        </w:rPr>
        <w:t xml:space="preserve">, domaćinstva </w:t>
      </w:r>
      <w:r w:rsidR="000F6F05" w:rsidRPr="00FA3619">
        <w:rPr>
          <w:rFonts w:ascii="Calibri" w:eastAsia="Times New Roman" w:hAnsi="Calibri" w:cs="Times New Roman"/>
          <w:bCs/>
          <w:iCs/>
          <w:sz w:val="24"/>
          <w:szCs w:val="24"/>
        </w:rPr>
        <w:t>-354.140,85 kn</w:t>
      </w:r>
      <w:r w:rsidR="005F191F" w:rsidRPr="00FA3619">
        <w:rPr>
          <w:rFonts w:ascii="Calibri" w:eastAsia="Times New Roman" w:hAnsi="Calibri" w:cs="Times New Roman"/>
          <w:bCs/>
          <w:iCs/>
          <w:sz w:val="24"/>
          <w:szCs w:val="24"/>
        </w:rPr>
        <w:t>)</w:t>
      </w:r>
      <w:r w:rsidR="00931175" w:rsidRPr="00FA3619">
        <w:rPr>
          <w:rFonts w:ascii="Calibri" w:eastAsia="Times New Roman" w:hAnsi="Calibri" w:cs="Times New Roman"/>
          <w:bCs/>
          <w:iCs/>
          <w:sz w:val="24"/>
          <w:szCs w:val="24"/>
        </w:rPr>
        <w:t>.</w:t>
      </w:r>
    </w:p>
    <w:p w14:paraId="3AB5424E" w14:textId="34BE84A0" w:rsidR="00DA77F7" w:rsidRPr="00FA3619" w:rsidRDefault="00DA77F7" w:rsidP="00C960A5">
      <w:pPr>
        <w:tabs>
          <w:tab w:val="left" w:pos="1134"/>
        </w:tabs>
        <w:spacing w:after="0" w:line="240" w:lineRule="auto"/>
        <w:ind w:right="92"/>
        <w:jc w:val="both"/>
        <w:rPr>
          <w:rFonts w:ascii="Calibri" w:eastAsia="Times New Roman" w:hAnsi="Calibri" w:cs="Times New Roman"/>
          <w:bCs/>
          <w:iCs/>
          <w:sz w:val="24"/>
          <w:szCs w:val="24"/>
        </w:rPr>
      </w:pPr>
      <w:r>
        <w:rPr>
          <w:rFonts w:ascii="Calibri" w:eastAsia="Times New Roman" w:hAnsi="Calibri" w:cs="Times New Roman"/>
          <w:bCs/>
          <w:iCs/>
          <w:sz w:val="24"/>
          <w:szCs w:val="24"/>
        </w:rPr>
        <w:tab/>
      </w:r>
      <w:r w:rsidRPr="00FA3619">
        <w:rPr>
          <w:rFonts w:ascii="Calibri" w:eastAsia="Times New Roman" w:hAnsi="Calibri" w:cs="Times New Roman"/>
          <w:bCs/>
          <w:iCs/>
          <w:sz w:val="24"/>
          <w:szCs w:val="24"/>
        </w:rPr>
        <w:t xml:space="preserve">Prihodi </w:t>
      </w:r>
      <w:r w:rsidR="005F191F" w:rsidRPr="00FA3619">
        <w:rPr>
          <w:rFonts w:ascii="Calibri" w:eastAsia="Times New Roman" w:hAnsi="Calibri" w:cs="Times New Roman"/>
          <w:bCs/>
          <w:iCs/>
          <w:sz w:val="24"/>
          <w:szCs w:val="24"/>
        </w:rPr>
        <w:t>v</w:t>
      </w:r>
      <w:r w:rsidRPr="00FA3619">
        <w:rPr>
          <w:rFonts w:ascii="Calibri" w:eastAsia="Times New Roman" w:hAnsi="Calibri" w:cs="Times New Roman"/>
          <w:bCs/>
          <w:iCs/>
          <w:sz w:val="24"/>
          <w:szCs w:val="24"/>
        </w:rPr>
        <w:t xml:space="preserve">arijabilnog dijela cijene kanalizacije </w:t>
      </w:r>
      <w:r w:rsidR="006A1534" w:rsidRPr="00FA3619">
        <w:rPr>
          <w:rFonts w:ascii="Calibri" w:eastAsia="Times New Roman" w:hAnsi="Calibri" w:cs="Times New Roman"/>
          <w:bCs/>
          <w:iCs/>
          <w:sz w:val="24"/>
          <w:szCs w:val="24"/>
        </w:rPr>
        <w:t xml:space="preserve">u odnosu na prošlogodišnje </w:t>
      </w:r>
      <w:r w:rsidRPr="00FA3619">
        <w:rPr>
          <w:rFonts w:ascii="Calibri" w:eastAsia="Times New Roman" w:hAnsi="Calibri" w:cs="Times New Roman"/>
          <w:bCs/>
          <w:iCs/>
          <w:sz w:val="24"/>
          <w:szCs w:val="24"/>
        </w:rPr>
        <w:t>manji su za 1.514.159,12 kn</w:t>
      </w:r>
      <w:r w:rsidR="006A1534" w:rsidRPr="00FA3619">
        <w:rPr>
          <w:rFonts w:ascii="Calibri" w:eastAsia="Times New Roman" w:hAnsi="Calibri" w:cs="Times New Roman"/>
          <w:bCs/>
          <w:iCs/>
          <w:sz w:val="24"/>
          <w:szCs w:val="24"/>
        </w:rPr>
        <w:t xml:space="preserve"> (privreda -</w:t>
      </w:r>
      <w:r w:rsidR="000F6F05" w:rsidRPr="00FA3619">
        <w:rPr>
          <w:rFonts w:ascii="Calibri" w:eastAsia="Times New Roman" w:hAnsi="Calibri" w:cs="Times New Roman"/>
          <w:bCs/>
          <w:iCs/>
          <w:sz w:val="24"/>
          <w:szCs w:val="24"/>
        </w:rPr>
        <w:t>1.534.128,00</w:t>
      </w:r>
      <w:r w:rsidR="006A1534" w:rsidRPr="00FA3619">
        <w:rPr>
          <w:rFonts w:ascii="Calibri" w:eastAsia="Times New Roman" w:hAnsi="Calibri" w:cs="Times New Roman"/>
          <w:bCs/>
          <w:iCs/>
          <w:sz w:val="24"/>
          <w:szCs w:val="24"/>
        </w:rPr>
        <w:t xml:space="preserve">, domaćinstva </w:t>
      </w:r>
      <w:r w:rsidR="000F6F05" w:rsidRPr="00FA3619">
        <w:rPr>
          <w:rFonts w:ascii="Calibri" w:eastAsia="Times New Roman" w:hAnsi="Calibri" w:cs="Times New Roman"/>
          <w:bCs/>
          <w:iCs/>
          <w:sz w:val="24"/>
          <w:szCs w:val="24"/>
        </w:rPr>
        <w:t>+19.968,88 kn</w:t>
      </w:r>
      <w:r w:rsidR="006A1534" w:rsidRPr="00FA3619">
        <w:rPr>
          <w:rFonts w:ascii="Calibri" w:eastAsia="Times New Roman" w:hAnsi="Calibri" w:cs="Times New Roman"/>
          <w:bCs/>
          <w:iCs/>
          <w:sz w:val="24"/>
          <w:szCs w:val="24"/>
        </w:rPr>
        <w:t>)</w:t>
      </w:r>
      <w:r w:rsidR="001E5986" w:rsidRPr="00FA3619">
        <w:rPr>
          <w:rFonts w:ascii="Calibri" w:eastAsia="Times New Roman" w:hAnsi="Calibri" w:cs="Times New Roman"/>
          <w:bCs/>
          <w:iCs/>
          <w:sz w:val="24"/>
          <w:szCs w:val="24"/>
        </w:rPr>
        <w:t>.</w:t>
      </w:r>
    </w:p>
    <w:p w14:paraId="09AC807E" w14:textId="1676AFAB" w:rsidR="003442D8" w:rsidRPr="00FA3619" w:rsidRDefault="001E5986" w:rsidP="001E5986">
      <w:pPr>
        <w:tabs>
          <w:tab w:val="left" w:pos="1134"/>
        </w:tabs>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Prihodi u 2020</w:t>
      </w:r>
      <w:r w:rsidR="005F191F" w:rsidRPr="00FA3619">
        <w:rPr>
          <w:rFonts w:ascii="Calibri" w:eastAsia="Times New Roman" w:hAnsi="Calibri" w:cs="Times New Roman"/>
          <w:bCs/>
          <w:iCs/>
          <w:sz w:val="24"/>
          <w:szCs w:val="24"/>
        </w:rPr>
        <w:t>.</w:t>
      </w:r>
      <w:r w:rsidRPr="00FA3619">
        <w:rPr>
          <w:rFonts w:ascii="Calibri" w:eastAsia="Times New Roman" w:hAnsi="Calibri" w:cs="Times New Roman"/>
          <w:bCs/>
          <w:iCs/>
          <w:sz w:val="24"/>
          <w:szCs w:val="24"/>
        </w:rPr>
        <w:t xml:space="preserve"> godini zna</w:t>
      </w:r>
      <w:r w:rsidR="005F191F" w:rsidRPr="00FA3619">
        <w:rPr>
          <w:rFonts w:ascii="Calibri" w:eastAsia="Times New Roman" w:hAnsi="Calibri" w:cs="Times New Roman"/>
          <w:bCs/>
          <w:iCs/>
          <w:sz w:val="24"/>
          <w:szCs w:val="24"/>
        </w:rPr>
        <w:t>tno</w:t>
      </w:r>
      <w:r w:rsidRPr="00FA3619">
        <w:rPr>
          <w:rFonts w:ascii="Calibri" w:eastAsia="Times New Roman" w:hAnsi="Calibri" w:cs="Times New Roman"/>
          <w:bCs/>
          <w:iCs/>
          <w:sz w:val="24"/>
          <w:szCs w:val="24"/>
        </w:rPr>
        <w:t xml:space="preserve"> su manji </w:t>
      </w:r>
      <w:r w:rsidR="006A1534" w:rsidRPr="00FA3619">
        <w:rPr>
          <w:rFonts w:ascii="Calibri" w:eastAsia="Times New Roman" w:hAnsi="Calibri" w:cs="Times New Roman"/>
          <w:bCs/>
          <w:iCs/>
          <w:sz w:val="24"/>
          <w:szCs w:val="24"/>
        </w:rPr>
        <w:t xml:space="preserve">jer je </w:t>
      </w:r>
      <w:r w:rsidR="0038533A" w:rsidRPr="00FA3619">
        <w:rPr>
          <w:rFonts w:ascii="Calibri" w:eastAsia="Times New Roman" w:hAnsi="Calibri" w:cs="Times New Roman"/>
          <w:iCs/>
          <w:sz w:val="24"/>
          <w:szCs w:val="24"/>
        </w:rPr>
        <w:t xml:space="preserve">zbog pandemije bolesti COVID-19 uzrokovane virusom SARS-CoV-2 (koronavirus) </w:t>
      </w:r>
      <w:r w:rsidR="006A1534" w:rsidRPr="00FA3619">
        <w:rPr>
          <w:rFonts w:ascii="Calibri" w:eastAsia="Times New Roman" w:hAnsi="Calibri" w:cs="Times New Roman"/>
          <w:iCs/>
          <w:sz w:val="24"/>
          <w:szCs w:val="24"/>
        </w:rPr>
        <w:t>bila</w:t>
      </w:r>
      <w:r w:rsidR="005F191F" w:rsidRPr="00FA3619">
        <w:rPr>
          <w:rFonts w:ascii="Calibri" w:eastAsia="Times New Roman" w:hAnsi="Calibri" w:cs="Times New Roman"/>
          <w:bCs/>
          <w:iCs/>
          <w:sz w:val="24"/>
          <w:szCs w:val="24"/>
        </w:rPr>
        <w:t xml:space="preserve"> znatno </w:t>
      </w:r>
      <w:r w:rsidR="006A1534" w:rsidRPr="00FA3619">
        <w:rPr>
          <w:rFonts w:ascii="Calibri" w:eastAsia="Times New Roman" w:hAnsi="Calibri" w:cs="Times New Roman"/>
          <w:bCs/>
          <w:iCs/>
          <w:sz w:val="24"/>
          <w:szCs w:val="24"/>
        </w:rPr>
        <w:t>slabija turistička</w:t>
      </w:r>
      <w:r w:rsidR="005F191F" w:rsidRPr="00FA3619">
        <w:rPr>
          <w:rFonts w:ascii="Calibri" w:eastAsia="Times New Roman" w:hAnsi="Calibri" w:cs="Times New Roman"/>
          <w:bCs/>
          <w:iCs/>
          <w:sz w:val="24"/>
          <w:szCs w:val="24"/>
        </w:rPr>
        <w:t xml:space="preserve"> ljetn</w:t>
      </w:r>
      <w:r w:rsidR="006A1534" w:rsidRPr="00FA3619">
        <w:rPr>
          <w:rFonts w:ascii="Calibri" w:eastAsia="Times New Roman" w:hAnsi="Calibri" w:cs="Times New Roman"/>
          <w:bCs/>
          <w:iCs/>
          <w:sz w:val="24"/>
          <w:szCs w:val="24"/>
        </w:rPr>
        <w:t>a</w:t>
      </w:r>
      <w:r w:rsidR="005F191F" w:rsidRPr="00FA3619">
        <w:rPr>
          <w:rFonts w:ascii="Calibri" w:eastAsia="Times New Roman" w:hAnsi="Calibri" w:cs="Times New Roman"/>
          <w:bCs/>
          <w:iCs/>
          <w:sz w:val="24"/>
          <w:szCs w:val="24"/>
        </w:rPr>
        <w:t xml:space="preserve"> sezon</w:t>
      </w:r>
      <w:r w:rsidR="006A1534" w:rsidRPr="00FA3619">
        <w:rPr>
          <w:rFonts w:ascii="Calibri" w:eastAsia="Times New Roman" w:hAnsi="Calibri" w:cs="Times New Roman"/>
          <w:bCs/>
          <w:iCs/>
          <w:sz w:val="24"/>
          <w:szCs w:val="24"/>
        </w:rPr>
        <w:t>a, neki turistički objekti nisu niti poslovali dok su drugi radili uz</w:t>
      </w:r>
      <w:r w:rsidR="008B089B" w:rsidRPr="00FA3619">
        <w:rPr>
          <w:rFonts w:ascii="Calibri" w:eastAsia="Times New Roman" w:hAnsi="Calibri" w:cs="Times New Roman"/>
          <w:bCs/>
          <w:iCs/>
          <w:sz w:val="24"/>
          <w:szCs w:val="24"/>
        </w:rPr>
        <w:t xml:space="preserve"> </w:t>
      </w:r>
      <w:r w:rsidR="006A1534" w:rsidRPr="00FA3619">
        <w:rPr>
          <w:rFonts w:ascii="Calibri" w:eastAsia="Times New Roman" w:hAnsi="Calibri" w:cs="Times New Roman"/>
          <w:bCs/>
          <w:iCs/>
          <w:sz w:val="24"/>
          <w:szCs w:val="24"/>
        </w:rPr>
        <w:t>ograničenja i mjere zaštite od zaraze koronavirusom.</w:t>
      </w:r>
    </w:p>
    <w:p w14:paraId="683CDE8A" w14:textId="6B596948" w:rsidR="00524687" w:rsidRPr="000A6FC0" w:rsidRDefault="000A6FC0" w:rsidP="000A6FC0">
      <w:pPr>
        <w:pStyle w:val="ListParagraph"/>
        <w:numPr>
          <w:ilvl w:val="0"/>
          <w:numId w:val="20"/>
        </w:numPr>
        <w:spacing w:after="0" w:line="240" w:lineRule="auto"/>
        <w:ind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lastRenderedPageBreak/>
        <w:t>Ostali poslovni prihodi</w:t>
      </w:r>
    </w:p>
    <w:p w14:paraId="73721B98" w14:textId="7B997992" w:rsidR="000A6FC0" w:rsidRDefault="000A6FC0" w:rsidP="003442D8">
      <w:pPr>
        <w:spacing w:after="0" w:line="240" w:lineRule="auto"/>
        <w:ind w:right="92"/>
        <w:jc w:val="both"/>
        <w:rPr>
          <w:rFonts w:ascii="Calibri" w:eastAsia="Times New Roman" w:hAnsi="Calibri" w:cs="Times New Roman"/>
          <w:b/>
          <w:bCs/>
          <w:iCs/>
          <w:sz w:val="24"/>
          <w:szCs w:val="24"/>
        </w:rPr>
      </w:pPr>
    </w:p>
    <w:bookmarkStart w:id="13" w:name="_MON_1683874858"/>
    <w:bookmarkEnd w:id="13"/>
    <w:p w14:paraId="49D9D0D9" w14:textId="56EC0D8C" w:rsidR="000A6FC0" w:rsidRDefault="00292998" w:rsidP="003442D8">
      <w:pPr>
        <w:spacing w:after="0" w:line="240" w:lineRule="auto"/>
        <w:ind w:right="92"/>
        <w:jc w:val="both"/>
        <w:rPr>
          <w:rFonts w:ascii="Calibri" w:eastAsia="Times New Roman" w:hAnsi="Calibri" w:cs="Times New Roman"/>
          <w:b/>
          <w:bCs/>
          <w:iCs/>
          <w:sz w:val="24"/>
          <w:szCs w:val="24"/>
        </w:rPr>
      </w:pPr>
      <w:r w:rsidRPr="00FA3619">
        <w:rPr>
          <w:bCs/>
          <w:iCs/>
        </w:rPr>
        <w:object w:dxaOrig="9495" w:dyaOrig="5215" w14:anchorId="74B8B61A">
          <v:shape id="_x0000_i1027" type="#_x0000_t75" style="width:458.25pt;height:253.5pt" o:ole="">
            <v:imagedata r:id="rId13" o:title=""/>
          </v:shape>
          <o:OLEObject Type="Embed" ProgID="Excel.Sheet.12" ShapeID="_x0000_i1027" DrawAspect="Content" ObjectID="_1684915220" r:id="rId14"/>
        </w:object>
      </w:r>
    </w:p>
    <w:p w14:paraId="444AA663" w14:textId="77777777" w:rsidR="00896A24" w:rsidRPr="00FA3619" w:rsidRDefault="00896A24" w:rsidP="003442D8">
      <w:pPr>
        <w:spacing w:after="0" w:line="240" w:lineRule="auto"/>
        <w:ind w:right="92"/>
        <w:jc w:val="both"/>
        <w:rPr>
          <w:rFonts w:ascii="Calibri" w:eastAsia="Times New Roman" w:hAnsi="Calibri" w:cs="Times New Roman"/>
          <w:iCs/>
          <w:sz w:val="24"/>
          <w:szCs w:val="24"/>
        </w:rPr>
      </w:pPr>
    </w:p>
    <w:p w14:paraId="4D890707" w14:textId="38D098B7" w:rsidR="003442D8" w:rsidRPr="00FA3619" w:rsidRDefault="003442D8" w:rsidP="003442D8">
      <w:pPr>
        <w:spacing w:after="0" w:line="240" w:lineRule="auto"/>
        <w:ind w:right="92"/>
        <w:jc w:val="both"/>
        <w:rPr>
          <w:rFonts w:ascii="Calibri" w:eastAsia="Times New Roman" w:hAnsi="Calibri" w:cs="Times New Roman"/>
          <w:bCs/>
          <w:sz w:val="24"/>
          <w:szCs w:val="24"/>
        </w:rPr>
      </w:pPr>
      <w:r w:rsidRPr="00FA3619">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ab/>
      </w:r>
      <w:r w:rsidRPr="00FA3619">
        <w:rPr>
          <w:rFonts w:ascii="Calibri" w:eastAsia="Times New Roman" w:hAnsi="Calibri" w:cs="Times New Roman"/>
          <w:bCs/>
          <w:iCs/>
          <w:sz w:val="24"/>
          <w:szCs w:val="24"/>
        </w:rPr>
        <w:t xml:space="preserve">U </w:t>
      </w:r>
      <w:r w:rsidR="00524687" w:rsidRPr="00FA3619">
        <w:rPr>
          <w:rFonts w:ascii="Calibri" w:eastAsia="Times New Roman" w:hAnsi="Calibri" w:cs="Times New Roman"/>
          <w:bCs/>
          <w:iCs/>
          <w:sz w:val="24"/>
          <w:szCs w:val="24"/>
        </w:rPr>
        <w:t>2020</w:t>
      </w:r>
      <w:r w:rsidRPr="00FA3619">
        <w:rPr>
          <w:rFonts w:ascii="Calibri" w:eastAsia="Times New Roman" w:hAnsi="Calibri" w:cs="Times New Roman"/>
          <w:bCs/>
          <w:iCs/>
          <w:sz w:val="24"/>
          <w:szCs w:val="24"/>
        </w:rPr>
        <w:t>. godini prihod</w:t>
      </w:r>
      <w:r w:rsidR="006E01E5" w:rsidRPr="00FA3619">
        <w:rPr>
          <w:rFonts w:ascii="Calibri" w:eastAsia="Times New Roman" w:hAnsi="Calibri" w:cs="Times New Roman"/>
          <w:bCs/>
          <w:iCs/>
          <w:sz w:val="24"/>
          <w:szCs w:val="24"/>
        </w:rPr>
        <w:t xml:space="preserve"> je </w:t>
      </w:r>
      <w:r w:rsidR="00524687" w:rsidRPr="00FA3619">
        <w:rPr>
          <w:rFonts w:ascii="Calibri" w:eastAsia="Times New Roman" w:hAnsi="Calibri" w:cs="Times New Roman"/>
          <w:bCs/>
          <w:iCs/>
          <w:sz w:val="24"/>
          <w:szCs w:val="24"/>
        </w:rPr>
        <w:t>neznatno veći od</w:t>
      </w:r>
      <w:r w:rsidR="006E01E5" w:rsidRPr="00FA3619">
        <w:rPr>
          <w:rFonts w:ascii="Calibri" w:eastAsia="Times New Roman" w:hAnsi="Calibri" w:cs="Times New Roman"/>
          <w:bCs/>
          <w:iCs/>
          <w:sz w:val="24"/>
          <w:szCs w:val="24"/>
        </w:rPr>
        <w:t xml:space="preserve"> prethodne godine budući da nije bilo značajnih </w:t>
      </w:r>
      <w:r w:rsidRPr="00FA3619">
        <w:rPr>
          <w:rFonts w:ascii="Calibri" w:eastAsia="Times New Roman" w:hAnsi="Calibri" w:cs="Times New Roman"/>
          <w:bCs/>
          <w:iCs/>
          <w:sz w:val="24"/>
          <w:szCs w:val="24"/>
        </w:rPr>
        <w:t xml:space="preserve"> </w:t>
      </w:r>
      <w:r w:rsidR="006E01E5" w:rsidRPr="00FA3619">
        <w:rPr>
          <w:rFonts w:ascii="Calibri" w:eastAsia="Times New Roman" w:hAnsi="Calibri" w:cs="Times New Roman"/>
          <w:bCs/>
          <w:sz w:val="24"/>
          <w:szCs w:val="24"/>
        </w:rPr>
        <w:t xml:space="preserve">aktiviranja dugotrajne imovine koja je sufinancirana </w:t>
      </w:r>
      <w:r w:rsidRPr="00FA3619">
        <w:rPr>
          <w:rFonts w:ascii="Calibri" w:eastAsia="Times New Roman" w:hAnsi="Calibri" w:cs="Times New Roman"/>
          <w:bCs/>
          <w:sz w:val="24"/>
          <w:szCs w:val="24"/>
        </w:rPr>
        <w:t>sredstvima potpora (Bilješka 2</w:t>
      </w:r>
      <w:r w:rsidR="0090333E">
        <w:rPr>
          <w:rFonts w:ascii="Calibri" w:eastAsia="Times New Roman" w:hAnsi="Calibri" w:cs="Times New Roman"/>
          <w:bCs/>
          <w:sz w:val="24"/>
          <w:szCs w:val="24"/>
        </w:rPr>
        <w:t>4</w:t>
      </w:r>
      <w:r w:rsidRPr="00FA3619">
        <w:rPr>
          <w:rFonts w:ascii="Calibri" w:eastAsia="Times New Roman" w:hAnsi="Calibri" w:cs="Times New Roman"/>
          <w:bCs/>
          <w:sz w:val="24"/>
          <w:szCs w:val="24"/>
        </w:rPr>
        <w:t>.a)/iii/,</w:t>
      </w:r>
      <w:r w:rsidR="0090333E">
        <w:rPr>
          <w:rFonts w:ascii="Calibri" w:eastAsia="Times New Roman" w:hAnsi="Calibri" w:cs="Times New Roman"/>
          <w:bCs/>
          <w:sz w:val="24"/>
          <w:szCs w:val="24"/>
        </w:rPr>
        <w:t xml:space="preserve"> </w:t>
      </w:r>
      <w:r w:rsidRPr="00FA3619">
        <w:rPr>
          <w:rFonts w:ascii="Calibri" w:eastAsia="Times New Roman" w:hAnsi="Calibri" w:cs="Times New Roman"/>
          <w:bCs/>
          <w:sz w:val="24"/>
          <w:szCs w:val="24"/>
        </w:rPr>
        <w:t>4.3.).</w:t>
      </w:r>
    </w:p>
    <w:p w14:paraId="1CDF7F52" w14:textId="77777777" w:rsidR="003442D8" w:rsidRPr="00FA3619" w:rsidRDefault="003442D8" w:rsidP="003442D8">
      <w:pPr>
        <w:spacing w:after="0" w:line="240" w:lineRule="auto"/>
        <w:ind w:right="92"/>
        <w:jc w:val="both"/>
        <w:rPr>
          <w:rFonts w:ascii="Calibri" w:eastAsia="Times New Roman" w:hAnsi="Calibri" w:cs="Times New Roman"/>
          <w:bCs/>
          <w:iCs/>
          <w:sz w:val="24"/>
          <w:szCs w:val="24"/>
        </w:rPr>
      </w:pPr>
    </w:p>
    <w:p w14:paraId="45243638" w14:textId="744EE5E6" w:rsidR="003442D8" w:rsidRPr="00FA3619" w:rsidRDefault="003442D8" w:rsidP="003442D8">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
          <w:bCs/>
          <w:iCs/>
          <w:sz w:val="24"/>
          <w:szCs w:val="24"/>
        </w:rPr>
        <w:t>/i</w:t>
      </w:r>
      <w:r w:rsidR="00292998">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w:t>
      </w:r>
      <w:r w:rsidRPr="00FA3619">
        <w:rPr>
          <w:rFonts w:ascii="Calibri" w:eastAsia="Times New Roman" w:hAnsi="Calibri" w:cs="Times New Roman"/>
          <w:bCs/>
          <w:iCs/>
          <w:sz w:val="24"/>
          <w:szCs w:val="24"/>
        </w:rPr>
        <w:tab/>
        <w:t xml:space="preserve">Prihodi </w:t>
      </w:r>
      <w:r w:rsidRPr="00FA3619">
        <w:rPr>
          <w:rFonts w:ascii="Calibri" w:eastAsia="Times New Roman" w:hAnsi="Calibri" w:cs="Times New Roman"/>
          <w:iCs/>
          <w:sz w:val="24"/>
          <w:szCs w:val="24"/>
        </w:rPr>
        <w:t xml:space="preserve">od kamata po kreditima iskazani su </w:t>
      </w:r>
      <w:r w:rsidRPr="00FA3619">
        <w:rPr>
          <w:rFonts w:ascii="Calibri" w:eastAsia="Times New Roman" w:hAnsi="Calibri" w:cs="Times New Roman"/>
          <w:bCs/>
          <w:iCs/>
          <w:sz w:val="24"/>
          <w:szCs w:val="24"/>
        </w:rPr>
        <w:t xml:space="preserve">temeljem potpora JLS za plaćanje anuiteta po kreditima te ne utječu na rezultat poslovanja Društva (Bilješka 5.). </w:t>
      </w:r>
    </w:p>
    <w:p w14:paraId="1940DC7C" w14:textId="77777777" w:rsidR="003442D8" w:rsidRPr="00FA3619" w:rsidRDefault="003442D8" w:rsidP="003442D8">
      <w:pPr>
        <w:spacing w:after="0" w:line="240" w:lineRule="auto"/>
        <w:ind w:right="92"/>
        <w:jc w:val="both"/>
        <w:rPr>
          <w:rFonts w:ascii="Calibri" w:eastAsia="Times New Roman" w:hAnsi="Calibri" w:cs="Times New Roman"/>
          <w:bCs/>
          <w:iCs/>
          <w:sz w:val="24"/>
          <w:szCs w:val="24"/>
        </w:rPr>
      </w:pPr>
    </w:p>
    <w:p w14:paraId="6857483A" w14:textId="0884EF32" w:rsidR="0053495D" w:rsidRPr="00FA3619" w:rsidRDefault="003442D8" w:rsidP="00CC098C">
      <w:pPr>
        <w:spacing w:after="0" w:line="240" w:lineRule="auto"/>
        <w:ind w:right="92"/>
        <w:jc w:val="both"/>
        <w:rPr>
          <w:rFonts w:ascii="Calibri" w:eastAsia="Times New Roman" w:hAnsi="Calibri" w:cs="Times New Roman"/>
          <w:bCs/>
          <w:iCs/>
          <w:sz w:val="24"/>
          <w:szCs w:val="24"/>
        </w:rPr>
      </w:pPr>
      <w:r w:rsidRPr="00E3653C">
        <w:rPr>
          <w:rFonts w:ascii="Calibri" w:eastAsia="Times New Roman" w:hAnsi="Calibri" w:cs="Times New Roman"/>
          <w:b/>
          <w:bCs/>
          <w:iCs/>
          <w:sz w:val="24"/>
          <w:szCs w:val="24"/>
        </w:rPr>
        <w:t>/i</w:t>
      </w:r>
      <w:r w:rsidR="00292998">
        <w:rPr>
          <w:rFonts w:ascii="Calibri" w:eastAsia="Times New Roman" w:hAnsi="Calibri" w:cs="Times New Roman"/>
          <w:b/>
          <w:bCs/>
          <w:iCs/>
          <w:sz w:val="24"/>
          <w:szCs w:val="24"/>
        </w:rPr>
        <w:t>ii</w:t>
      </w:r>
      <w:r w:rsidRPr="00E3653C">
        <w:rPr>
          <w:rFonts w:ascii="Calibri" w:eastAsia="Times New Roman" w:hAnsi="Calibri" w:cs="Times New Roman"/>
          <w:b/>
          <w:bCs/>
          <w:iCs/>
          <w:sz w:val="24"/>
          <w:szCs w:val="24"/>
        </w:rPr>
        <w:t xml:space="preserve">/  </w:t>
      </w:r>
      <w:r w:rsidRPr="00E3653C">
        <w:rPr>
          <w:rFonts w:ascii="Calibri" w:eastAsia="Times New Roman" w:hAnsi="Calibri" w:cs="Times New Roman"/>
          <w:bCs/>
          <w:iCs/>
          <w:sz w:val="24"/>
          <w:szCs w:val="24"/>
        </w:rPr>
        <w:t xml:space="preserve">  </w:t>
      </w:r>
      <w:r w:rsidR="0053495D" w:rsidRPr="00E3653C">
        <w:rPr>
          <w:rFonts w:ascii="Calibri" w:eastAsia="Times New Roman" w:hAnsi="Calibri" w:cs="Times New Roman"/>
          <w:bCs/>
          <w:iCs/>
          <w:sz w:val="24"/>
          <w:szCs w:val="24"/>
        </w:rPr>
        <w:t xml:space="preserve">Društvo je </w:t>
      </w:r>
      <w:r w:rsidR="00C3276C" w:rsidRPr="00E3653C">
        <w:rPr>
          <w:rFonts w:ascii="Calibri" w:eastAsia="Times New Roman" w:hAnsi="Calibri" w:cs="Times New Roman"/>
          <w:bCs/>
          <w:iCs/>
          <w:sz w:val="24"/>
          <w:szCs w:val="24"/>
        </w:rPr>
        <w:t xml:space="preserve">24. travnja 2019. godine </w:t>
      </w:r>
      <w:r w:rsidR="0053495D" w:rsidRPr="00E3653C">
        <w:rPr>
          <w:rFonts w:ascii="Calibri" w:eastAsia="Times New Roman" w:hAnsi="Calibri" w:cs="Times New Roman"/>
          <w:bCs/>
          <w:iCs/>
          <w:sz w:val="24"/>
          <w:szCs w:val="24"/>
        </w:rPr>
        <w:t>s Ponikve eko otokom Krkom d.o.o. sklopilo Ugovor</w:t>
      </w:r>
      <w:r w:rsidR="0053495D" w:rsidRPr="00FA3619">
        <w:rPr>
          <w:rFonts w:ascii="Calibri" w:eastAsia="Times New Roman" w:hAnsi="Calibri" w:cs="Times New Roman"/>
          <w:bCs/>
          <w:iCs/>
          <w:sz w:val="24"/>
          <w:szCs w:val="24"/>
        </w:rPr>
        <w:t xml:space="preserve"> o međusobnim odnosima u izgradnji </w:t>
      </w:r>
      <w:bookmarkStart w:id="14" w:name="_Hlk73011405"/>
      <w:r w:rsidR="0053495D" w:rsidRPr="00FA3619">
        <w:rPr>
          <w:rFonts w:ascii="Calibri" w:eastAsia="Times New Roman" w:hAnsi="Calibri" w:cs="Times New Roman"/>
          <w:bCs/>
          <w:iCs/>
          <w:sz w:val="24"/>
          <w:szCs w:val="24"/>
        </w:rPr>
        <w:t>elektroničke komunikacijske mreže (EKM) otoka Krka u istom infrastrukturnom kanalu fekalne kanalizacije EU projekta</w:t>
      </w:r>
      <w:bookmarkEnd w:id="14"/>
      <w:r w:rsidR="0053495D" w:rsidRPr="00FA3619">
        <w:rPr>
          <w:rFonts w:ascii="Calibri" w:eastAsia="Times New Roman" w:hAnsi="Calibri" w:cs="Times New Roman"/>
          <w:bCs/>
          <w:iCs/>
          <w:sz w:val="24"/>
          <w:szCs w:val="24"/>
        </w:rPr>
        <w:t xml:space="preserve">. </w:t>
      </w:r>
      <w:r w:rsidR="00C3276C" w:rsidRPr="00FA3619">
        <w:rPr>
          <w:rFonts w:ascii="Calibri" w:eastAsia="Times New Roman" w:hAnsi="Calibri" w:cs="Times New Roman"/>
          <w:bCs/>
          <w:iCs/>
          <w:sz w:val="24"/>
          <w:szCs w:val="24"/>
        </w:rPr>
        <w:t>Prema</w:t>
      </w:r>
      <w:r w:rsidR="0053495D" w:rsidRPr="00FA3619">
        <w:rPr>
          <w:rFonts w:ascii="Calibri" w:eastAsia="Times New Roman" w:hAnsi="Calibri" w:cs="Times New Roman"/>
          <w:bCs/>
          <w:iCs/>
          <w:sz w:val="24"/>
          <w:szCs w:val="24"/>
        </w:rPr>
        <w:t xml:space="preserve"> tom ugovoru izgrađena EKM mreža biti će vlasništvo društva Ponikve eko otok Krk koje radove i financira. </w:t>
      </w:r>
    </w:p>
    <w:p w14:paraId="3C648154" w14:textId="2E26BA47" w:rsidR="00CC098C" w:rsidRPr="00FA3619" w:rsidRDefault="0053495D" w:rsidP="001F6422">
      <w:pPr>
        <w:spacing w:after="0" w:line="240" w:lineRule="auto"/>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Dodatkom br. 1 Ugovoru o međusobnim odnosima od 02. srpnja 2019. godine – uključen je i stručni nadzor tako da vrijednost izvođenja radova, polaganja EKM i stručnog nadzora iznosi ukupno</w:t>
      </w:r>
      <w:r w:rsidR="00CC098C" w:rsidRPr="00FA3619">
        <w:rPr>
          <w:rFonts w:ascii="Calibri" w:eastAsia="Times New Roman" w:hAnsi="Calibri" w:cs="Times New Roman"/>
          <w:bCs/>
          <w:iCs/>
          <w:sz w:val="24"/>
          <w:szCs w:val="24"/>
        </w:rPr>
        <w:t xml:space="preserve"> 13.882.844,77 kn</w:t>
      </w:r>
      <w:r w:rsidRPr="00FA3619">
        <w:rPr>
          <w:rFonts w:ascii="Calibri" w:eastAsia="Times New Roman" w:hAnsi="Calibri" w:cs="Times New Roman"/>
          <w:bCs/>
          <w:iCs/>
          <w:sz w:val="24"/>
          <w:szCs w:val="24"/>
        </w:rPr>
        <w:t>.</w:t>
      </w:r>
      <w:r w:rsidR="00A11B3F" w:rsidRPr="00FA3619">
        <w:rPr>
          <w:rFonts w:ascii="Calibri" w:eastAsia="Times New Roman" w:hAnsi="Calibri" w:cs="Times New Roman"/>
          <w:bCs/>
          <w:iCs/>
          <w:sz w:val="24"/>
          <w:szCs w:val="24"/>
        </w:rPr>
        <w:t xml:space="preserve"> </w:t>
      </w:r>
      <w:r w:rsidR="00CC098C" w:rsidRPr="00FA3619">
        <w:rPr>
          <w:rFonts w:ascii="Calibri" w:eastAsia="Times New Roman" w:hAnsi="Calibri" w:cs="Times New Roman"/>
          <w:bCs/>
          <w:iCs/>
          <w:sz w:val="24"/>
          <w:szCs w:val="24"/>
        </w:rPr>
        <w:t>Prihodi od usluga izgradnje</w:t>
      </w:r>
      <w:r w:rsidR="00CC5272" w:rsidRPr="00FA3619">
        <w:rPr>
          <w:rFonts w:ascii="Calibri" w:eastAsia="Times New Roman" w:hAnsi="Calibri" w:cs="Times New Roman"/>
          <w:bCs/>
          <w:iCs/>
          <w:sz w:val="24"/>
          <w:szCs w:val="24"/>
        </w:rPr>
        <w:t xml:space="preserve"> i stručnog nadzora nad izgradnjom</w:t>
      </w:r>
      <w:r w:rsidR="00CC098C" w:rsidRPr="00FA3619">
        <w:rPr>
          <w:rFonts w:ascii="Calibri" w:eastAsia="Times New Roman" w:hAnsi="Calibri" w:cs="Times New Roman"/>
          <w:bCs/>
          <w:iCs/>
          <w:sz w:val="24"/>
          <w:szCs w:val="24"/>
        </w:rPr>
        <w:t xml:space="preserve"> EKM </w:t>
      </w:r>
      <w:r w:rsidR="00A11B3F" w:rsidRPr="00FA3619">
        <w:rPr>
          <w:rFonts w:ascii="Calibri" w:eastAsia="Times New Roman" w:hAnsi="Calibri" w:cs="Times New Roman"/>
          <w:bCs/>
          <w:iCs/>
          <w:sz w:val="24"/>
          <w:szCs w:val="24"/>
        </w:rPr>
        <w:t xml:space="preserve">mreže u 2020. godini </w:t>
      </w:r>
      <w:r w:rsidR="00CC098C" w:rsidRPr="00FA3619">
        <w:rPr>
          <w:rFonts w:ascii="Calibri" w:eastAsia="Times New Roman" w:hAnsi="Calibri" w:cs="Times New Roman"/>
          <w:bCs/>
          <w:iCs/>
          <w:sz w:val="24"/>
          <w:szCs w:val="24"/>
        </w:rPr>
        <w:t xml:space="preserve">iznose </w:t>
      </w:r>
      <w:bookmarkStart w:id="15" w:name="_Hlk73011463"/>
      <w:r w:rsidR="00A11B3F" w:rsidRPr="00FA3619">
        <w:rPr>
          <w:rFonts w:ascii="Calibri" w:eastAsia="Times New Roman" w:hAnsi="Calibri" w:cs="Times New Roman"/>
          <w:bCs/>
          <w:iCs/>
          <w:sz w:val="24"/>
          <w:szCs w:val="24"/>
        </w:rPr>
        <w:t>6.729.380,13</w:t>
      </w:r>
      <w:r w:rsidR="00CC098C" w:rsidRPr="00FA3619">
        <w:rPr>
          <w:rFonts w:ascii="Calibri" w:eastAsia="Times New Roman" w:hAnsi="Calibri" w:cs="Times New Roman"/>
          <w:bCs/>
          <w:iCs/>
          <w:sz w:val="24"/>
          <w:szCs w:val="24"/>
        </w:rPr>
        <w:t xml:space="preserve"> </w:t>
      </w:r>
      <w:r w:rsidR="001F5C5D" w:rsidRPr="00FA3619">
        <w:rPr>
          <w:rFonts w:ascii="Calibri" w:eastAsia="Times New Roman" w:hAnsi="Calibri" w:cs="Times New Roman"/>
          <w:bCs/>
          <w:iCs/>
          <w:sz w:val="24"/>
          <w:szCs w:val="24"/>
        </w:rPr>
        <w:t>kn</w:t>
      </w:r>
      <w:bookmarkEnd w:id="15"/>
      <w:r w:rsidR="00CC098C" w:rsidRPr="00FA3619">
        <w:rPr>
          <w:rFonts w:ascii="Calibri" w:eastAsia="Times New Roman" w:hAnsi="Calibri" w:cs="Times New Roman"/>
          <w:bCs/>
          <w:iCs/>
          <w:sz w:val="24"/>
          <w:szCs w:val="24"/>
        </w:rPr>
        <w:t>, a u istom su iznosu iskazani i u troškovima (Bilješka 4.1.</w:t>
      </w:r>
      <w:r w:rsidR="0090333E">
        <w:rPr>
          <w:rFonts w:ascii="Calibri" w:eastAsia="Times New Roman" w:hAnsi="Calibri" w:cs="Times New Roman"/>
          <w:bCs/>
          <w:iCs/>
          <w:sz w:val="24"/>
          <w:szCs w:val="24"/>
        </w:rPr>
        <w:t xml:space="preserve"> /vi/</w:t>
      </w:r>
      <w:r w:rsidR="00CC098C" w:rsidRPr="00FA3619">
        <w:rPr>
          <w:rFonts w:ascii="Calibri" w:eastAsia="Times New Roman" w:hAnsi="Calibri" w:cs="Times New Roman"/>
          <w:bCs/>
          <w:iCs/>
          <w:sz w:val="24"/>
          <w:szCs w:val="24"/>
        </w:rPr>
        <w:t xml:space="preserve">). </w:t>
      </w:r>
    </w:p>
    <w:p w14:paraId="76C2578B"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18A55C25" w14:textId="37852AD5" w:rsidR="00CC098C" w:rsidRDefault="00CC098C" w:rsidP="003442D8">
      <w:pPr>
        <w:spacing w:after="0" w:line="240" w:lineRule="auto"/>
        <w:ind w:right="92"/>
        <w:jc w:val="both"/>
        <w:rPr>
          <w:rFonts w:ascii="Calibri" w:eastAsia="Times New Roman" w:hAnsi="Calibri" w:cs="Times New Roman"/>
          <w:b/>
          <w:bCs/>
          <w:iCs/>
          <w:sz w:val="24"/>
          <w:szCs w:val="24"/>
        </w:rPr>
      </w:pPr>
    </w:p>
    <w:p w14:paraId="05F517AA" w14:textId="77777777" w:rsidR="000A6FC0" w:rsidRPr="00FA3619" w:rsidRDefault="000A6FC0" w:rsidP="003442D8">
      <w:pPr>
        <w:spacing w:after="0" w:line="240" w:lineRule="auto"/>
        <w:ind w:right="92"/>
        <w:jc w:val="both"/>
        <w:rPr>
          <w:rFonts w:ascii="Calibri" w:eastAsia="Times New Roman" w:hAnsi="Calibri" w:cs="Times New Roman"/>
          <w:b/>
          <w:bCs/>
          <w:iCs/>
          <w:sz w:val="24"/>
          <w:szCs w:val="24"/>
        </w:rPr>
      </w:pPr>
    </w:p>
    <w:p w14:paraId="337466EA" w14:textId="77777777" w:rsidR="001F6422" w:rsidRDefault="001F6422">
      <w:pPr>
        <w:rPr>
          <w:rFonts w:ascii="Calibri" w:eastAsia="Times New Roman" w:hAnsi="Calibri" w:cs="Times New Roman"/>
          <w:b/>
          <w:bCs/>
          <w:iCs/>
          <w:sz w:val="24"/>
          <w:szCs w:val="24"/>
        </w:rPr>
      </w:pPr>
      <w:r>
        <w:rPr>
          <w:rFonts w:ascii="Calibri" w:eastAsia="Times New Roman" w:hAnsi="Calibri" w:cs="Times New Roman"/>
          <w:b/>
          <w:bCs/>
          <w:iCs/>
          <w:sz w:val="24"/>
          <w:szCs w:val="24"/>
        </w:rPr>
        <w:br w:type="page"/>
      </w:r>
    </w:p>
    <w:p w14:paraId="1ACCB99B" w14:textId="16681EDB" w:rsidR="003442D8" w:rsidRPr="00AD0D10" w:rsidRDefault="003442D8" w:rsidP="00AD0D10">
      <w:pPr>
        <w:pStyle w:val="ListParagraph"/>
        <w:numPr>
          <w:ilvl w:val="0"/>
          <w:numId w:val="1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FINANCIJSKI PRIHODI</w:t>
      </w:r>
    </w:p>
    <w:p w14:paraId="3AF931B2"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04F450F6" w14:textId="168E7FA0" w:rsidR="003442D8" w:rsidRDefault="003442D8" w:rsidP="003442D8">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Financijske prihode obuhvaćaju:</w:t>
      </w:r>
    </w:p>
    <w:bookmarkStart w:id="16" w:name="_Hlk69988914"/>
    <w:bookmarkStart w:id="17" w:name="_MON_1647244842"/>
    <w:bookmarkEnd w:id="17"/>
    <w:p w14:paraId="7A9DA8E0" w14:textId="4A1368CE" w:rsidR="001337EF" w:rsidRPr="00FA3619" w:rsidRDefault="004C7A53" w:rsidP="003442D8">
      <w:pPr>
        <w:spacing w:after="0" w:line="240" w:lineRule="auto"/>
        <w:ind w:right="92"/>
        <w:jc w:val="both"/>
        <w:rPr>
          <w:bCs/>
          <w:iCs/>
        </w:rPr>
      </w:pPr>
      <w:r w:rsidRPr="00FA3619">
        <w:rPr>
          <w:bCs/>
          <w:iCs/>
        </w:rPr>
        <w:object w:dxaOrig="8417" w:dyaOrig="2053" w14:anchorId="130F96BD">
          <v:shape id="_x0000_i1028" type="#_x0000_t75" style="width:420.75pt;height:99.75pt" o:ole="">
            <v:imagedata r:id="rId15" o:title=""/>
          </v:shape>
          <o:OLEObject Type="Embed" ProgID="Excel.Sheet.12" ShapeID="_x0000_i1028" DrawAspect="Content" ObjectID="_1684915221" r:id="rId16"/>
        </w:object>
      </w:r>
      <w:bookmarkEnd w:id="16"/>
    </w:p>
    <w:p w14:paraId="30DF30C0" w14:textId="7D5E101C" w:rsidR="007A3808" w:rsidRPr="00FA3619" w:rsidRDefault="007A3808" w:rsidP="003442D8">
      <w:pPr>
        <w:spacing w:after="0" w:line="240" w:lineRule="auto"/>
        <w:ind w:right="92"/>
        <w:jc w:val="both"/>
        <w:rPr>
          <w:bCs/>
          <w:iCs/>
        </w:rPr>
      </w:pPr>
    </w:p>
    <w:p w14:paraId="1C9D04A0" w14:textId="4EC72ABE" w:rsidR="007A3808" w:rsidRPr="00FA3619" w:rsidRDefault="007A3808" w:rsidP="003442D8">
      <w:pPr>
        <w:spacing w:after="0" w:line="240" w:lineRule="auto"/>
        <w:ind w:right="92"/>
        <w:jc w:val="both"/>
        <w:rPr>
          <w:bCs/>
          <w:iCs/>
        </w:rPr>
      </w:pPr>
    </w:p>
    <w:p w14:paraId="49BF92D7" w14:textId="17DA06CE" w:rsidR="007A3808" w:rsidRDefault="007A3808" w:rsidP="003442D8">
      <w:pPr>
        <w:spacing w:after="0" w:line="240" w:lineRule="auto"/>
        <w:ind w:right="92"/>
        <w:jc w:val="both"/>
        <w:rPr>
          <w:rFonts w:ascii="Calibri" w:eastAsia="Times New Roman" w:hAnsi="Calibri" w:cs="Times New Roman"/>
          <w:bCs/>
          <w:iCs/>
          <w:sz w:val="24"/>
          <w:szCs w:val="24"/>
        </w:rPr>
      </w:pPr>
    </w:p>
    <w:p w14:paraId="2243C436" w14:textId="5D2EC7B4" w:rsidR="00FA3619" w:rsidRDefault="00FA3619" w:rsidP="003442D8">
      <w:pPr>
        <w:spacing w:after="0" w:line="240" w:lineRule="auto"/>
        <w:ind w:right="92"/>
        <w:jc w:val="both"/>
        <w:rPr>
          <w:rFonts w:ascii="Calibri" w:eastAsia="Times New Roman" w:hAnsi="Calibri" w:cs="Times New Roman"/>
          <w:bCs/>
          <w:iCs/>
          <w:sz w:val="24"/>
          <w:szCs w:val="24"/>
        </w:rPr>
      </w:pPr>
    </w:p>
    <w:p w14:paraId="4F24A6B9" w14:textId="77777777" w:rsidR="003442D8" w:rsidRPr="00AD0D10" w:rsidRDefault="003442D8" w:rsidP="00AD0D10">
      <w:pPr>
        <w:pStyle w:val="ListParagraph"/>
        <w:numPr>
          <w:ilvl w:val="0"/>
          <w:numId w:val="19"/>
        </w:numPr>
        <w:tabs>
          <w:tab w:val="left" w:pos="709"/>
        </w:tabs>
        <w:spacing w:after="0" w:line="240" w:lineRule="auto"/>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POSLOVNI RASHODI</w:t>
      </w:r>
    </w:p>
    <w:p w14:paraId="4C1CEED5"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0D03433D"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4.1.</w:t>
      </w:r>
      <w:r w:rsidRPr="00FA3619">
        <w:rPr>
          <w:rFonts w:ascii="Calibri" w:eastAsia="Times New Roman" w:hAnsi="Calibri" w:cs="Times New Roman"/>
          <w:b/>
          <w:bCs/>
          <w:iCs/>
          <w:sz w:val="24"/>
          <w:szCs w:val="24"/>
        </w:rPr>
        <w:tab/>
        <w:t>MATERIJALNI TROŠKOVI</w:t>
      </w:r>
    </w:p>
    <w:p w14:paraId="5137372D"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4E4CA625" w14:textId="0BDFCCD7" w:rsidR="003442D8" w:rsidRPr="00FA3619" w:rsidRDefault="003442D8" w:rsidP="003442D8">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Materijalne troškove čine:</w:t>
      </w:r>
    </w:p>
    <w:p w14:paraId="23C2033D" w14:textId="6502F84D" w:rsidR="001337EF" w:rsidRPr="00FA3619" w:rsidRDefault="001337EF" w:rsidP="003442D8">
      <w:pPr>
        <w:spacing w:after="0" w:line="240" w:lineRule="auto"/>
        <w:ind w:right="92"/>
        <w:jc w:val="both"/>
        <w:rPr>
          <w:rFonts w:ascii="Calibri" w:eastAsia="Times New Roman" w:hAnsi="Calibri" w:cs="Times New Roman"/>
          <w:bCs/>
          <w:iCs/>
          <w:sz w:val="24"/>
          <w:szCs w:val="24"/>
        </w:rPr>
      </w:pPr>
    </w:p>
    <w:bookmarkStart w:id="18" w:name="_MON_1680601708"/>
    <w:bookmarkEnd w:id="18"/>
    <w:p w14:paraId="3DFC8434" w14:textId="4F90A020" w:rsidR="001337EF" w:rsidRPr="00FA3619" w:rsidRDefault="000A6FC0" w:rsidP="007A3808">
      <w:pPr>
        <w:tabs>
          <w:tab w:val="left" w:pos="3119"/>
          <w:tab w:val="left" w:pos="3261"/>
        </w:tabs>
        <w:spacing w:after="0" w:line="240" w:lineRule="auto"/>
        <w:ind w:right="92"/>
        <w:jc w:val="both"/>
        <w:rPr>
          <w:rFonts w:ascii="Calibri" w:eastAsia="Times New Roman" w:hAnsi="Calibri" w:cs="Times New Roman"/>
          <w:bCs/>
          <w:iCs/>
          <w:sz w:val="24"/>
          <w:szCs w:val="24"/>
        </w:rPr>
      </w:pPr>
      <w:r w:rsidRPr="00FA3619">
        <w:rPr>
          <w:bCs/>
          <w:iCs/>
        </w:rPr>
        <w:object w:dxaOrig="9581" w:dyaOrig="5830" w14:anchorId="68B72CDB">
          <v:shape id="_x0000_i1029" type="#_x0000_t75" style="width:463.5pt;height:283.5pt" o:ole="">
            <v:imagedata r:id="rId17" o:title=""/>
          </v:shape>
          <o:OLEObject Type="Embed" ProgID="Excel.Sheet.12" ShapeID="_x0000_i1029" DrawAspect="Content" ObjectID="_1684915222" r:id="rId18"/>
        </w:object>
      </w:r>
    </w:p>
    <w:p w14:paraId="6D8EA963" w14:textId="77777777" w:rsidR="003442D8" w:rsidRPr="00FA3619" w:rsidRDefault="003442D8" w:rsidP="003442D8">
      <w:pPr>
        <w:spacing w:after="0" w:line="240" w:lineRule="auto"/>
        <w:ind w:right="92"/>
        <w:jc w:val="both"/>
        <w:rPr>
          <w:rFonts w:ascii="Calibri" w:eastAsia="Times New Roman" w:hAnsi="Calibri" w:cs="Times New Roman"/>
          <w:bCs/>
          <w:iCs/>
          <w:sz w:val="24"/>
          <w:szCs w:val="24"/>
        </w:rPr>
      </w:pPr>
    </w:p>
    <w:p w14:paraId="25CFCBCC" w14:textId="372AF8AD" w:rsidR="00F642EB" w:rsidRPr="00FA3619" w:rsidRDefault="003442D8" w:rsidP="008A4006">
      <w:pPr>
        <w:tabs>
          <w:tab w:val="left" w:pos="709"/>
        </w:tabs>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 xml:space="preserve"> </w:t>
      </w:r>
      <w:r w:rsidR="008A4006" w:rsidRPr="00FA3619">
        <w:rPr>
          <w:rFonts w:ascii="Calibri" w:eastAsia="Times New Roman" w:hAnsi="Calibri" w:cs="Times New Roman"/>
          <w:b/>
          <w:sz w:val="24"/>
          <w:szCs w:val="24"/>
        </w:rPr>
        <w:t>/i/</w:t>
      </w:r>
      <w:r w:rsidR="008A4006" w:rsidRPr="00FA3619">
        <w:rPr>
          <w:rFonts w:ascii="Calibri" w:eastAsia="Times New Roman" w:hAnsi="Calibri" w:cs="Times New Roman"/>
          <w:b/>
          <w:sz w:val="24"/>
          <w:szCs w:val="24"/>
        </w:rPr>
        <w:tab/>
      </w:r>
      <w:r w:rsidRPr="00FA3619">
        <w:rPr>
          <w:rFonts w:ascii="Calibri" w:eastAsia="Times New Roman" w:hAnsi="Calibri" w:cs="Times New Roman"/>
          <w:sz w:val="24"/>
          <w:szCs w:val="24"/>
        </w:rPr>
        <w:t>Troškovi materijala, rezervnih dijelova i sitnog inventara</w:t>
      </w:r>
      <w:r w:rsidR="00F642EB" w:rsidRPr="00FA3619">
        <w:rPr>
          <w:rFonts w:ascii="Calibri" w:eastAsia="Times New Roman" w:hAnsi="Calibri" w:cs="Times New Roman"/>
          <w:sz w:val="24"/>
          <w:szCs w:val="24"/>
        </w:rPr>
        <w:t xml:space="preserve"> iznose </w:t>
      </w:r>
      <w:r w:rsidR="008A4006" w:rsidRPr="00FA3619">
        <w:rPr>
          <w:rFonts w:ascii="Calibri" w:eastAsia="Times New Roman" w:hAnsi="Calibri" w:cs="Times New Roman"/>
          <w:sz w:val="24"/>
          <w:szCs w:val="24"/>
        </w:rPr>
        <w:t>4.296.672,43</w:t>
      </w:r>
      <w:r w:rsidR="00F642EB" w:rsidRPr="00FA3619">
        <w:rPr>
          <w:rFonts w:ascii="Calibri" w:eastAsia="Times New Roman" w:hAnsi="Calibri" w:cs="Times New Roman"/>
          <w:sz w:val="24"/>
          <w:szCs w:val="24"/>
        </w:rPr>
        <w:t xml:space="preserve"> kn i </w:t>
      </w:r>
      <w:r w:rsidR="00576DEB" w:rsidRPr="00FA3619">
        <w:rPr>
          <w:rFonts w:ascii="Calibri" w:eastAsia="Times New Roman" w:hAnsi="Calibri" w:cs="Times New Roman"/>
          <w:sz w:val="24"/>
          <w:szCs w:val="24"/>
        </w:rPr>
        <w:t xml:space="preserve">manji su od prošle godine zbog </w:t>
      </w:r>
      <w:r w:rsidR="008B085A" w:rsidRPr="00FA3619">
        <w:rPr>
          <w:rFonts w:ascii="Calibri" w:eastAsia="Times New Roman" w:hAnsi="Calibri" w:cs="Times New Roman"/>
          <w:sz w:val="24"/>
          <w:szCs w:val="24"/>
        </w:rPr>
        <w:t xml:space="preserve"> smanjenih aktivnosti </w:t>
      </w:r>
      <w:r w:rsidR="00576DEB" w:rsidRPr="00FA3619">
        <w:rPr>
          <w:rFonts w:ascii="Calibri" w:eastAsia="Times New Roman" w:hAnsi="Calibri" w:cs="Times New Roman"/>
          <w:sz w:val="24"/>
          <w:szCs w:val="24"/>
        </w:rPr>
        <w:t xml:space="preserve">koje je prouzročila pandemija </w:t>
      </w:r>
      <w:r w:rsidR="009F29F9" w:rsidRPr="00FA3619">
        <w:rPr>
          <w:rFonts w:ascii="Calibri" w:eastAsia="Times New Roman" w:hAnsi="Calibri" w:cs="Times New Roman"/>
          <w:sz w:val="24"/>
          <w:szCs w:val="24"/>
        </w:rPr>
        <w:t>kovidvirusa</w:t>
      </w:r>
      <w:r w:rsidR="00F642EB" w:rsidRPr="00FA3619">
        <w:rPr>
          <w:rFonts w:ascii="Calibri" w:eastAsia="Times New Roman" w:hAnsi="Calibri" w:cs="Times New Roman"/>
          <w:sz w:val="24"/>
          <w:szCs w:val="24"/>
        </w:rPr>
        <w:t>.</w:t>
      </w:r>
    </w:p>
    <w:p w14:paraId="2FCA21CF" w14:textId="77777777" w:rsidR="003442D8" w:rsidRPr="00FA3619" w:rsidRDefault="003442D8" w:rsidP="003442D8">
      <w:pPr>
        <w:tabs>
          <w:tab w:val="left" w:pos="6585"/>
        </w:tabs>
        <w:spacing w:after="0" w:line="240" w:lineRule="auto"/>
        <w:ind w:right="92"/>
        <w:jc w:val="both"/>
        <w:rPr>
          <w:rFonts w:ascii="Calibri" w:eastAsia="Times New Roman" w:hAnsi="Calibri" w:cs="Times New Roman"/>
          <w:b/>
          <w:sz w:val="24"/>
          <w:szCs w:val="24"/>
        </w:rPr>
      </w:pPr>
      <w:r w:rsidRPr="00FA3619">
        <w:rPr>
          <w:rFonts w:ascii="Calibri" w:eastAsia="Times New Roman" w:hAnsi="Calibri" w:cs="Times New Roman"/>
          <w:b/>
          <w:sz w:val="24"/>
          <w:szCs w:val="24"/>
        </w:rPr>
        <w:tab/>
      </w:r>
    </w:p>
    <w:p w14:paraId="787FCDB9" w14:textId="634E6EC4" w:rsidR="003442D8" w:rsidRPr="00FA3619" w:rsidRDefault="003442D8" w:rsidP="003442D8">
      <w:pPr>
        <w:tabs>
          <w:tab w:val="left" w:pos="6585"/>
        </w:tabs>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/i</w:t>
      </w:r>
      <w:r w:rsidR="009F29F9" w:rsidRPr="00FA3619">
        <w:rPr>
          <w:rFonts w:ascii="Calibri" w:eastAsia="Times New Roman" w:hAnsi="Calibri" w:cs="Times New Roman"/>
          <w:b/>
          <w:sz w:val="24"/>
          <w:szCs w:val="24"/>
        </w:rPr>
        <w:t>i</w:t>
      </w:r>
      <w:r w:rsidRPr="00FA3619">
        <w:rPr>
          <w:rFonts w:ascii="Calibri" w:eastAsia="Times New Roman" w:hAnsi="Calibri" w:cs="Times New Roman"/>
          <w:b/>
          <w:sz w:val="24"/>
          <w:szCs w:val="24"/>
        </w:rPr>
        <w:t xml:space="preserve">/      </w:t>
      </w:r>
      <w:r w:rsidRPr="00FA3619">
        <w:rPr>
          <w:rFonts w:ascii="Calibri" w:eastAsia="Times New Roman" w:hAnsi="Calibri" w:cs="Times New Roman"/>
          <w:sz w:val="24"/>
          <w:szCs w:val="24"/>
        </w:rPr>
        <w:t xml:space="preserve">Troškovi kupljene vode </w:t>
      </w:r>
      <w:r w:rsidR="00E10FCB" w:rsidRPr="00FA3619">
        <w:rPr>
          <w:rFonts w:ascii="Calibri" w:eastAsia="Times New Roman" w:hAnsi="Calibri" w:cs="Times New Roman"/>
          <w:sz w:val="24"/>
          <w:szCs w:val="24"/>
        </w:rPr>
        <w:t>manji su od</w:t>
      </w:r>
      <w:r w:rsidRPr="00FA3619">
        <w:rPr>
          <w:rFonts w:ascii="Calibri" w:eastAsia="Times New Roman" w:hAnsi="Calibri" w:cs="Times New Roman"/>
          <w:sz w:val="24"/>
          <w:szCs w:val="24"/>
        </w:rPr>
        <w:t xml:space="preserve"> prošlogodišnjih</w:t>
      </w:r>
      <w:r w:rsidR="00E10FCB" w:rsidRPr="00FA3619">
        <w:rPr>
          <w:rFonts w:ascii="Calibri" w:eastAsia="Times New Roman" w:hAnsi="Calibri" w:cs="Times New Roman"/>
          <w:sz w:val="24"/>
          <w:szCs w:val="24"/>
        </w:rPr>
        <w:t xml:space="preserve"> za </w:t>
      </w:r>
      <w:r w:rsidR="008B085A" w:rsidRPr="00FA3619">
        <w:rPr>
          <w:rFonts w:ascii="Calibri" w:eastAsia="Times New Roman" w:hAnsi="Calibri" w:cs="Times New Roman"/>
          <w:sz w:val="24"/>
          <w:szCs w:val="24"/>
        </w:rPr>
        <w:t>171.</w:t>
      </w:r>
      <w:r w:rsidR="007A3808" w:rsidRPr="00FA3619">
        <w:rPr>
          <w:rFonts w:ascii="Calibri" w:eastAsia="Times New Roman" w:hAnsi="Calibri" w:cs="Times New Roman"/>
          <w:sz w:val="24"/>
          <w:szCs w:val="24"/>
        </w:rPr>
        <w:t>184</w:t>
      </w:r>
      <w:r w:rsidR="008B085A" w:rsidRPr="00FA3619">
        <w:rPr>
          <w:rFonts w:ascii="Calibri" w:eastAsia="Times New Roman" w:hAnsi="Calibri" w:cs="Times New Roman"/>
          <w:sz w:val="24"/>
          <w:szCs w:val="24"/>
        </w:rPr>
        <w:t xml:space="preserve">,40  </w:t>
      </w:r>
      <w:r w:rsidR="00E10FCB" w:rsidRPr="00FA3619">
        <w:rPr>
          <w:rFonts w:ascii="Calibri" w:eastAsia="Times New Roman" w:hAnsi="Calibri" w:cs="Times New Roman"/>
          <w:sz w:val="24"/>
          <w:szCs w:val="24"/>
        </w:rPr>
        <w:t>kn</w:t>
      </w:r>
      <w:r w:rsidRPr="00FA3619">
        <w:rPr>
          <w:rFonts w:ascii="Calibri" w:eastAsia="Times New Roman" w:hAnsi="Calibri" w:cs="Times New Roman"/>
          <w:sz w:val="24"/>
          <w:szCs w:val="24"/>
        </w:rPr>
        <w:t>. U</w:t>
      </w:r>
      <w:r w:rsidR="00E10FCB" w:rsidRPr="00FA3619">
        <w:rPr>
          <w:rFonts w:ascii="Calibri" w:eastAsia="Times New Roman" w:hAnsi="Calibri" w:cs="Times New Roman"/>
          <w:sz w:val="24"/>
          <w:szCs w:val="24"/>
        </w:rPr>
        <w:t xml:space="preserve"> </w:t>
      </w:r>
      <w:r w:rsidR="008B085A" w:rsidRPr="00FA3619">
        <w:rPr>
          <w:rFonts w:ascii="Calibri" w:eastAsia="Times New Roman" w:hAnsi="Calibri" w:cs="Times New Roman"/>
          <w:sz w:val="24"/>
          <w:szCs w:val="24"/>
        </w:rPr>
        <w:t>2020.</w:t>
      </w:r>
      <w:r w:rsidR="009F29F9" w:rsidRPr="00FA3619">
        <w:rPr>
          <w:rFonts w:ascii="Calibri" w:eastAsia="Times New Roman" w:hAnsi="Calibri" w:cs="Times New Roman"/>
          <w:sz w:val="24"/>
          <w:szCs w:val="24"/>
        </w:rPr>
        <w:t xml:space="preserve"> </w:t>
      </w:r>
      <w:r w:rsidR="008B085A" w:rsidRPr="00FA3619">
        <w:rPr>
          <w:rFonts w:ascii="Calibri" w:eastAsia="Times New Roman" w:hAnsi="Calibri" w:cs="Times New Roman"/>
          <w:sz w:val="24"/>
          <w:szCs w:val="24"/>
        </w:rPr>
        <w:t xml:space="preserve">godini kupljeno je </w:t>
      </w:r>
      <w:r w:rsidR="007A3808" w:rsidRPr="00FA3619">
        <w:rPr>
          <w:rFonts w:ascii="Calibri" w:eastAsia="Times New Roman" w:hAnsi="Calibri" w:cs="Times New Roman"/>
          <w:sz w:val="24"/>
          <w:szCs w:val="24"/>
        </w:rPr>
        <w:t>186.821 m</w:t>
      </w:r>
      <w:r w:rsidR="007A3808" w:rsidRPr="00FA3619">
        <w:rPr>
          <w:rFonts w:ascii="Calibri" w:eastAsia="Times New Roman" w:hAnsi="Calibri" w:cs="Times New Roman"/>
          <w:sz w:val="24"/>
          <w:szCs w:val="24"/>
          <w:vertAlign w:val="superscript"/>
        </w:rPr>
        <w:t>3</w:t>
      </w:r>
      <w:r w:rsidR="009F29F9" w:rsidRPr="00FA3619">
        <w:rPr>
          <w:rFonts w:ascii="Calibri" w:eastAsia="Times New Roman" w:hAnsi="Calibri" w:cs="Times New Roman"/>
          <w:sz w:val="24"/>
          <w:szCs w:val="24"/>
        </w:rPr>
        <w:t xml:space="preserve">, a </w:t>
      </w:r>
      <w:r w:rsidR="00E10FCB" w:rsidRPr="00FA3619">
        <w:rPr>
          <w:rFonts w:ascii="Calibri" w:eastAsia="Times New Roman" w:hAnsi="Calibri" w:cs="Times New Roman"/>
          <w:sz w:val="24"/>
          <w:szCs w:val="24"/>
        </w:rPr>
        <w:t>2019</w:t>
      </w:r>
      <w:r w:rsidRPr="00FA3619">
        <w:rPr>
          <w:rFonts w:ascii="Calibri" w:eastAsia="Times New Roman" w:hAnsi="Calibri" w:cs="Times New Roman"/>
          <w:sz w:val="24"/>
          <w:szCs w:val="24"/>
        </w:rPr>
        <w:t>. godin</w:t>
      </w:r>
      <w:r w:rsidR="009F29F9" w:rsidRPr="00FA3619">
        <w:rPr>
          <w:rFonts w:ascii="Calibri" w:eastAsia="Times New Roman" w:hAnsi="Calibri" w:cs="Times New Roman"/>
          <w:sz w:val="24"/>
          <w:szCs w:val="24"/>
        </w:rPr>
        <w:t>e</w:t>
      </w:r>
      <w:r w:rsidRPr="00FA3619">
        <w:rPr>
          <w:rFonts w:ascii="Calibri" w:eastAsia="Times New Roman" w:hAnsi="Calibri" w:cs="Times New Roman"/>
          <w:sz w:val="24"/>
          <w:szCs w:val="24"/>
        </w:rPr>
        <w:t xml:space="preserve"> </w:t>
      </w:r>
      <w:r w:rsidR="00072FC4" w:rsidRPr="00FA3619">
        <w:rPr>
          <w:rFonts w:ascii="Calibri" w:eastAsia="Times New Roman" w:hAnsi="Calibri" w:cs="Times New Roman"/>
          <w:sz w:val="24"/>
          <w:szCs w:val="24"/>
        </w:rPr>
        <w:t>224.035</w:t>
      </w:r>
      <w:r w:rsidRPr="00FA3619">
        <w:rPr>
          <w:rFonts w:ascii="Calibri" w:eastAsia="Times New Roman" w:hAnsi="Calibri" w:cs="Times New Roman"/>
          <w:sz w:val="24"/>
          <w:szCs w:val="24"/>
        </w:rPr>
        <w:t xml:space="preserve"> m</w:t>
      </w:r>
      <w:r w:rsidRPr="00FA3619">
        <w:rPr>
          <w:rFonts w:ascii="Calibri" w:eastAsia="Times New Roman" w:hAnsi="Calibri" w:cs="Times New Roman"/>
          <w:sz w:val="24"/>
          <w:szCs w:val="24"/>
          <w:vertAlign w:val="superscript"/>
        </w:rPr>
        <w:t>3</w:t>
      </w:r>
      <w:r w:rsidR="009F29F9" w:rsidRPr="00FA3619">
        <w:rPr>
          <w:rFonts w:ascii="Calibri" w:eastAsia="Times New Roman" w:hAnsi="Calibri" w:cs="Times New Roman"/>
          <w:sz w:val="24"/>
          <w:szCs w:val="24"/>
        </w:rPr>
        <w:t xml:space="preserve"> vode s kopna</w:t>
      </w:r>
      <w:r w:rsidRPr="00FA3619">
        <w:rPr>
          <w:rFonts w:ascii="Calibri" w:eastAsia="Times New Roman" w:hAnsi="Calibri" w:cs="Times New Roman"/>
          <w:sz w:val="24"/>
          <w:szCs w:val="24"/>
        </w:rPr>
        <w:t>.</w:t>
      </w:r>
    </w:p>
    <w:p w14:paraId="5A043601" w14:textId="77777777" w:rsidR="003442D8" w:rsidRPr="00FA3619" w:rsidRDefault="003442D8" w:rsidP="003442D8">
      <w:pPr>
        <w:tabs>
          <w:tab w:val="left" w:pos="6585"/>
        </w:tabs>
        <w:spacing w:after="0" w:line="240" w:lineRule="auto"/>
        <w:ind w:right="92"/>
        <w:jc w:val="both"/>
        <w:rPr>
          <w:rFonts w:ascii="Calibri" w:eastAsia="Times New Roman" w:hAnsi="Calibri" w:cs="Times New Roman"/>
          <w:sz w:val="24"/>
          <w:szCs w:val="24"/>
        </w:rPr>
      </w:pPr>
    </w:p>
    <w:p w14:paraId="6E98B1AE" w14:textId="3F6C04A8" w:rsidR="003442D8" w:rsidRPr="00FA3619" w:rsidRDefault="003442D8" w:rsidP="003442D8">
      <w:pPr>
        <w:tabs>
          <w:tab w:val="left" w:pos="6585"/>
        </w:tabs>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lastRenderedPageBreak/>
        <w:t>/i</w:t>
      </w:r>
      <w:r w:rsidR="009F29F9" w:rsidRPr="00FA3619">
        <w:rPr>
          <w:rFonts w:ascii="Calibri" w:eastAsia="Times New Roman" w:hAnsi="Calibri" w:cs="Times New Roman"/>
          <w:b/>
          <w:sz w:val="24"/>
          <w:szCs w:val="24"/>
        </w:rPr>
        <w:t>i</w:t>
      </w:r>
      <w:r w:rsidRPr="00FA3619">
        <w:rPr>
          <w:rFonts w:ascii="Calibri" w:eastAsia="Times New Roman" w:hAnsi="Calibri" w:cs="Times New Roman"/>
          <w:b/>
          <w:sz w:val="24"/>
          <w:szCs w:val="24"/>
        </w:rPr>
        <w:t xml:space="preserve">i/      </w:t>
      </w:r>
      <w:r w:rsidRPr="00FA3619">
        <w:rPr>
          <w:rFonts w:ascii="Calibri" w:eastAsia="Times New Roman" w:hAnsi="Calibri" w:cs="Times New Roman"/>
          <w:sz w:val="24"/>
          <w:szCs w:val="24"/>
        </w:rPr>
        <w:t xml:space="preserve">Troškovi energije, goriva i maziva </w:t>
      </w:r>
      <w:r w:rsidR="008B085A" w:rsidRPr="00FA3619">
        <w:rPr>
          <w:rFonts w:ascii="Calibri" w:eastAsia="Times New Roman" w:hAnsi="Calibri" w:cs="Times New Roman"/>
          <w:sz w:val="24"/>
          <w:szCs w:val="24"/>
        </w:rPr>
        <w:t>manj</w:t>
      </w:r>
      <w:r w:rsidR="00000424" w:rsidRPr="00FA3619">
        <w:rPr>
          <w:rFonts w:ascii="Calibri" w:eastAsia="Times New Roman" w:hAnsi="Calibri" w:cs="Times New Roman"/>
          <w:sz w:val="24"/>
          <w:szCs w:val="24"/>
        </w:rPr>
        <w:t>i</w:t>
      </w:r>
      <w:r w:rsidRPr="00FA3619">
        <w:rPr>
          <w:rFonts w:ascii="Calibri" w:eastAsia="Times New Roman" w:hAnsi="Calibri" w:cs="Times New Roman"/>
          <w:sz w:val="24"/>
          <w:szCs w:val="24"/>
        </w:rPr>
        <w:t xml:space="preserve"> su u odnosu na prethodnu godinu za   </w:t>
      </w:r>
      <w:r w:rsidR="008B085A" w:rsidRPr="00FA3619">
        <w:rPr>
          <w:rFonts w:ascii="Calibri" w:eastAsia="Times New Roman" w:hAnsi="Calibri" w:cs="Times New Roman"/>
          <w:sz w:val="24"/>
          <w:szCs w:val="24"/>
        </w:rPr>
        <w:t>496.736,72</w:t>
      </w:r>
      <w:r w:rsidRPr="00FA3619">
        <w:rPr>
          <w:rFonts w:ascii="Calibri" w:eastAsia="Times New Roman" w:hAnsi="Calibri" w:cs="Times New Roman"/>
          <w:sz w:val="24"/>
          <w:szCs w:val="24"/>
        </w:rPr>
        <w:t xml:space="preserve"> </w:t>
      </w:r>
      <w:r w:rsidR="00E10FCB" w:rsidRPr="00FA3619">
        <w:rPr>
          <w:rFonts w:ascii="Calibri" w:eastAsia="Times New Roman" w:hAnsi="Calibri" w:cs="Times New Roman"/>
          <w:sz w:val="24"/>
          <w:szCs w:val="24"/>
        </w:rPr>
        <w:t>kn</w:t>
      </w:r>
      <w:r w:rsidRPr="00FA3619">
        <w:rPr>
          <w:rFonts w:ascii="Calibri" w:eastAsia="Times New Roman" w:hAnsi="Calibri" w:cs="Times New Roman"/>
          <w:sz w:val="24"/>
          <w:szCs w:val="24"/>
        </w:rPr>
        <w:t xml:space="preserve"> ili </w:t>
      </w:r>
      <w:r w:rsidR="008B085A" w:rsidRPr="00FA3619">
        <w:rPr>
          <w:rFonts w:ascii="Calibri" w:eastAsia="Times New Roman" w:hAnsi="Calibri" w:cs="Times New Roman"/>
          <w:sz w:val="24"/>
          <w:szCs w:val="24"/>
        </w:rPr>
        <w:t>1</w:t>
      </w:r>
      <w:r w:rsidR="009F29F9" w:rsidRPr="00FA3619">
        <w:rPr>
          <w:rFonts w:ascii="Calibri" w:eastAsia="Times New Roman" w:hAnsi="Calibri" w:cs="Times New Roman"/>
          <w:sz w:val="24"/>
          <w:szCs w:val="24"/>
        </w:rPr>
        <w:t>4</w:t>
      </w:r>
      <w:r w:rsidRPr="00FA3619">
        <w:rPr>
          <w:rFonts w:ascii="Calibri" w:eastAsia="Times New Roman" w:hAnsi="Calibri" w:cs="Times New Roman"/>
          <w:sz w:val="24"/>
          <w:szCs w:val="24"/>
        </w:rPr>
        <w:t xml:space="preserve">%. Najznačajnije </w:t>
      </w:r>
      <w:r w:rsidR="008B085A" w:rsidRPr="00FA3619">
        <w:rPr>
          <w:rFonts w:ascii="Calibri" w:eastAsia="Times New Roman" w:hAnsi="Calibri" w:cs="Times New Roman"/>
          <w:sz w:val="24"/>
          <w:szCs w:val="24"/>
        </w:rPr>
        <w:t>smanjenje je</w:t>
      </w:r>
      <w:r w:rsidR="000A6FC0">
        <w:rPr>
          <w:rFonts w:ascii="Calibri" w:eastAsia="Times New Roman" w:hAnsi="Calibri" w:cs="Times New Roman"/>
          <w:sz w:val="24"/>
          <w:szCs w:val="24"/>
        </w:rPr>
        <w:t xml:space="preserve"> zbog</w:t>
      </w:r>
      <w:r w:rsidR="008B085A" w:rsidRPr="00FA3619">
        <w:rPr>
          <w:rFonts w:ascii="Calibri" w:eastAsia="Times New Roman" w:hAnsi="Calibri" w:cs="Times New Roman"/>
          <w:sz w:val="24"/>
          <w:szCs w:val="24"/>
        </w:rPr>
        <w:t xml:space="preserve"> manj</w:t>
      </w:r>
      <w:r w:rsidR="000A6FC0">
        <w:rPr>
          <w:rFonts w:ascii="Calibri" w:eastAsia="Times New Roman" w:hAnsi="Calibri" w:cs="Times New Roman"/>
          <w:sz w:val="24"/>
          <w:szCs w:val="24"/>
        </w:rPr>
        <w:t>eg</w:t>
      </w:r>
      <w:r w:rsidR="00EE6100" w:rsidRPr="00FA3619">
        <w:rPr>
          <w:rFonts w:ascii="Calibri" w:eastAsia="Times New Roman" w:hAnsi="Calibri" w:cs="Times New Roman"/>
          <w:sz w:val="24"/>
          <w:szCs w:val="24"/>
        </w:rPr>
        <w:t xml:space="preserve"> broj</w:t>
      </w:r>
      <w:r w:rsidR="000A6FC0">
        <w:rPr>
          <w:rFonts w:ascii="Calibri" w:eastAsia="Times New Roman" w:hAnsi="Calibri" w:cs="Times New Roman"/>
          <w:sz w:val="24"/>
          <w:szCs w:val="24"/>
        </w:rPr>
        <w:t>a</w:t>
      </w:r>
      <w:r w:rsidR="00EE6100" w:rsidRPr="00FA3619">
        <w:rPr>
          <w:rFonts w:ascii="Calibri" w:eastAsia="Times New Roman" w:hAnsi="Calibri" w:cs="Times New Roman"/>
          <w:sz w:val="24"/>
          <w:szCs w:val="24"/>
        </w:rPr>
        <w:t xml:space="preserve"> prijeđenih kilometara </w:t>
      </w:r>
      <w:r w:rsidR="00F0047C" w:rsidRPr="00FA3619">
        <w:rPr>
          <w:rFonts w:ascii="Calibri" w:eastAsia="Times New Roman" w:hAnsi="Calibri" w:cs="Times New Roman"/>
          <w:sz w:val="24"/>
          <w:szCs w:val="24"/>
        </w:rPr>
        <w:t>vozil</w:t>
      </w:r>
      <w:r w:rsidR="00EE6100" w:rsidRPr="00FA3619">
        <w:rPr>
          <w:rFonts w:ascii="Calibri" w:eastAsia="Times New Roman" w:hAnsi="Calibri" w:cs="Times New Roman"/>
          <w:sz w:val="24"/>
          <w:szCs w:val="24"/>
        </w:rPr>
        <w:t xml:space="preserve">a za prijevoz </w:t>
      </w:r>
      <w:r w:rsidR="009F29F9" w:rsidRPr="00FA3619">
        <w:rPr>
          <w:rFonts w:ascii="Calibri" w:eastAsia="Times New Roman" w:hAnsi="Calibri" w:cs="Times New Roman"/>
          <w:sz w:val="24"/>
          <w:szCs w:val="24"/>
        </w:rPr>
        <w:t>otpadnih voda iz septičkih jama</w:t>
      </w:r>
      <w:r w:rsidR="00EE6100" w:rsidRPr="00FA3619">
        <w:rPr>
          <w:rFonts w:ascii="Calibri" w:eastAsia="Times New Roman" w:hAnsi="Calibri" w:cs="Times New Roman"/>
          <w:sz w:val="24"/>
          <w:szCs w:val="24"/>
        </w:rPr>
        <w:t>.</w:t>
      </w:r>
    </w:p>
    <w:p w14:paraId="72E560EF"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p>
    <w:p w14:paraId="64C4B36C" w14:textId="25AA14E1" w:rsidR="00E10FCB" w:rsidRPr="00292998"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sz w:val="24"/>
          <w:szCs w:val="24"/>
        </w:rPr>
        <w:t>/iv/</w:t>
      </w:r>
      <w:r w:rsidRPr="00FA3619">
        <w:rPr>
          <w:rFonts w:ascii="Calibri" w:eastAsia="Times New Roman" w:hAnsi="Calibri" w:cs="Times New Roman"/>
          <w:b/>
          <w:sz w:val="24"/>
          <w:szCs w:val="24"/>
        </w:rPr>
        <w:tab/>
      </w:r>
      <w:r w:rsidRPr="00FA3619">
        <w:rPr>
          <w:rFonts w:ascii="Calibri" w:eastAsia="Times New Roman" w:hAnsi="Calibri" w:cs="Times New Roman"/>
          <w:sz w:val="24"/>
          <w:szCs w:val="24"/>
        </w:rPr>
        <w:t xml:space="preserve">Usluge održavanja iznose </w:t>
      </w:r>
      <w:r w:rsidR="00BB7EE3" w:rsidRPr="00FA3619">
        <w:rPr>
          <w:rFonts w:ascii="Calibri" w:eastAsia="Times New Roman" w:hAnsi="Calibri" w:cs="Times New Roman"/>
          <w:sz w:val="24"/>
          <w:szCs w:val="24"/>
        </w:rPr>
        <w:t>2.102.773,08</w:t>
      </w:r>
      <w:r w:rsidRPr="00FA3619">
        <w:rPr>
          <w:rFonts w:ascii="Calibri" w:eastAsia="Times New Roman" w:hAnsi="Calibri" w:cs="Times New Roman"/>
          <w:iCs/>
          <w:sz w:val="24"/>
          <w:szCs w:val="24"/>
        </w:rPr>
        <w:t xml:space="preserve"> kn</w:t>
      </w:r>
      <w:r w:rsidR="00E10FCB" w:rsidRPr="00FA3619">
        <w:rPr>
          <w:rFonts w:ascii="Calibri" w:eastAsia="Times New Roman" w:hAnsi="Calibri" w:cs="Times New Roman"/>
          <w:iCs/>
          <w:sz w:val="24"/>
          <w:szCs w:val="24"/>
        </w:rPr>
        <w:t xml:space="preserve"> i </w:t>
      </w:r>
      <w:r w:rsidR="00BB7EE3" w:rsidRPr="00FA3619">
        <w:rPr>
          <w:rFonts w:ascii="Calibri" w:eastAsia="Times New Roman" w:hAnsi="Calibri" w:cs="Times New Roman"/>
          <w:iCs/>
          <w:sz w:val="24"/>
          <w:szCs w:val="24"/>
        </w:rPr>
        <w:t xml:space="preserve">smanjene su </w:t>
      </w:r>
      <w:r w:rsidR="00E10FCB" w:rsidRPr="00FA3619">
        <w:rPr>
          <w:rFonts w:ascii="Calibri" w:eastAsia="Times New Roman" w:hAnsi="Calibri" w:cs="Times New Roman"/>
          <w:iCs/>
          <w:sz w:val="24"/>
          <w:szCs w:val="24"/>
        </w:rPr>
        <w:t xml:space="preserve"> u odnosu na prethodnu godinu za </w:t>
      </w:r>
      <w:r w:rsidR="00BB7EE3" w:rsidRPr="00FA3619">
        <w:rPr>
          <w:rFonts w:ascii="Calibri" w:eastAsia="Times New Roman" w:hAnsi="Calibri" w:cs="Times New Roman"/>
          <w:iCs/>
          <w:sz w:val="24"/>
          <w:szCs w:val="24"/>
        </w:rPr>
        <w:t>1.523.250,42</w:t>
      </w:r>
      <w:r w:rsidR="00E10FCB" w:rsidRPr="00FA3619">
        <w:rPr>
          <w:rFonts w:ascii="Calibri" w:eastAsia="Times New Roman" w:hAnsi="Calibri" w:cs="Times New Roman"/>
          <w:iCs/>
          <w:sz w:val="24"/>
          <w:szCs w:val="24"/>
        </w:rPr>
        <w:t xml:space="preserve"> kn</w:t>
      </w:r>
      <w:r w:rsidR="009F29F9" w:rsidRPr="00FA3619">
        <w:rPr>
          <w:rFonts w:ascii="Calibri" w:eastAsia="Times New Roman" w:hAnsi="Calibri" w:cs="Times New Roman"/>
          <w:iCs/>
          <w:sz w:val="24"/>
          <w:szCs w:val="24"/>
        </w:rPr>
        <w:t xml:space="preserve"> (42%)</w:t>
      </w:r>
      <w:r w:rsidR="00BB7EE3" w:rsidRPr="00FA3619">
        <w:rPr>
          <w:rFonts w:ascii="Calibri" w:eastAsia="Times New Roman" w:hAnsi="Calibri" w:cs="Times New Roman"/>
          <w:iCs/>
          <w:sz w:val="24"/>
          <w:szCs w:val="24"/>
        </w:rPr>
        <w:t xml:space="preserve">. </w:t>
      </w:r>
      <w:r w:rsidR="009F29F9" w:rsidRPr="00FA3619">
        <w:rPr>
          <w:rFonts w:ascii="Calibri" w:eastAsia="Times New Roman" w:hAnsi="Calibri" w:cs="Times New Roman"/>
          <w:iCs/>
          <w:sz w:val="24"/>
          <w:szCs w:val="24"/>
        </w:rPr>
        <w:t xml:space="preserve">Društvo je zbog pandemije djelomično odgodilo planirano </w:t>
      </w:r>
      <w:r w:rsidR="009F29F9" w:rsidRPr="00292998">
        <w:rPr>
          <w:rFonts w:ascii="Calibri" w:eastAsia="Times New Roman" w:hAnsi="Calibri" w:cs="Times New Roman"/>
          <w:iCs/>
          <w:sz w:val="24"/>
          <w:szCs w:val="24"/>
        </w:rPr>
        <w:t xml:space="preserve">investicijsko </w:t>
      </w:r>
      <w:r w:rsidR="00E10FCB" w:rsidRPr="00292998">
        <w:rPr>
          <w:rFonts w:ascii="Calibri" w:eastAsia="Times New Roman" w:hAnsi="Calibri" w:cs="Times New Roman"/>
          <w:iCs/>
          <w:sz w:val="24"/>
          <w:szCs w:val="24"/>
        </w:rPr>
        <w:t xml:space="preserve">održavanje </w:t>
      </w:r>
      <w:r w:rsidR="009F29F9" w:rsidRPr="00292998">
        <w:rPr>
          <w:rFonts w:ascii="Calibri" w:eastAsia="Times New Roman" w:hAnsi="Calibri" w:cs="Times New Roman"/>
          <w:iCs/>
          <w:sz w:val="24"/>
          <w:szCs w:val="24"/>
        </w:rPr>
        <w:t xml:space="preserve">vodosprema (održavanje </w:t>
      </w:r>
      <w:r w:rsidR="008A4006" w:rsidRPr="00292998">
        <w:rPr>
          <w:rFonts w:ascii="Calibri" w:eastAsia="Times New Roman" w:hAnsi="Calibri" w:cs="Times New Roman"/>
          <w:iCs/>
          <w:sz w:val="24"/>
          <w:szCs w:val="24"/>
        </w:rPr>
        <w:t>vodosprema i crpnih stanica</w:t>
      </w:r>
      <w:r w:rsidR="009F29F9" w:rsidRPr="00292998">
        <w:rPr>
          <w:rFonts w:ascii="Calibri" w:eastAsia="Times New Roman" w:hAnsi="Calibri" w:cs="Times New Roman"/>
          <w:iCs/>
          <w:sz w:val="24"/>
          <w:szCs w:val="24"/>
        </w:rPr>
        <w:t xml:space="preserve"> u </w:t>
      </w:r>
      <w:r w:rsidR="00BB7EE3" w:rsidRPr="00292998">
        <w:rPr>
          <w:rFonts w:ascii="Calibri" w:eastAsia="Times New Roman" w:hAnsi="Calibri" w:cs="Times New Roman"/>
          <w:iCs/>
          <w:sz w:val="24"/>
          <w:szCs w:val="24"/>
        </w:rPr>
        <w:t>2020.</w:t>
      </w:r>
      <w:r w:rsidR="009F29F9" w:rsidRPr="00292998">
        <w:rPr>
          <w:rFonts w:ascii="Calibri" w:eastAsia="Times New Roman" w:hAnsi="Calibri" w:cs="Times New Roman"/>
          <w:iCs/>
          <w:sz w:val="24"/>
          <w:szCs w:val="24"/>
        </w:rPr>
        <w:t xml:space="preserve"> </w:t>
      </w:r>
      <w:r w:rsidR="00BB7EE3" w:rsidRPr="00292998">
        <w:rPr>
          <w:rFonts w:ascii="Calibri" w:eastAsia="Times New Roman" w:hAnsi="Calibri" w:cs="Times New Roman"/>
          <w:iCs/>
          <w:sz w:val="24"/>
          <w:szCs w:val="24"/>
        </w:rPr>
        <w:t>godin</w:t>
      </w:r>
      <w:r w:rsidR="009F29F9" w:rsidRPr="00292998">
        <w:rPr>
          <w:rFonts w:ascii="Calibri" w:eastAsia="Times New Roman" w:hAnsi="Calibri" w:cs="Times New Roman"/>
          <w:iCs/>
          <w:sz w:val="24"/>
          <w:szCs w:val="24"/>
        </w:rPr>
        <w:t>i</w:t>
      </w:r>
      <w:r w:rsidR="00BB7EE3" w:rsidRPr="00292998">
        <w:rPr>
          <w:rFonts w:ascii="Calibri" w:eastAsia="Times New Roman" w:hAnsi="Calibri" w:cs="Times New Roman"/>
          <w:iCs/>
          <w:sz w:val="24"/>
          <w:szCs w:val="24"/>
        </w:rPr>
        <w:t xml:space="preserve"> iznos</w:t>
      </w:r>
      <w:r w:rsidR="009F29F9" w:rsidRPr="00292998">
        <w:rPr>
          <w:rFonts w:ascii="Calibri" w:eastAsia="Times New Roman" w:hAnsi="Calibri" w:cs="Times New Roman"/>
          <w:iCs/>
          <w:sz w:val="24"/>
          <w:szCs w:val="24"/>
        </w:rPr>
        <w:t>i</w:t>
      </w:r>
      <w:r w:rsidR="00BB7EE3" w:rsidRPr="00292998">
        <w:rPr>
          <w:rFonts w:ascii="Calibri" w:eastAsia="Times New Roman" w:hAnsi="Calibri" w:cs="Times New Roman"/>
          <w:iCs/>
          <w:sz w:val="24"/>
          <w:szCs w:val="24"/>
        </w:rPr>
        <w:t xml:space="preserve"> 577.387,65</w:t>
      </w:r>
      <w:r w:rsidR="009F29F9" w:rsidRPr="00292998">
        <w:rPr>
          <w:rFonts w:ascii="Calibri" w:eastAsia="Times New Roman" w:hAnsi="Calibri" w:cs="Times New Roman"/>
          <w:iCs/>
          <w:sz w:val="24"/>
          <w:szCs w:val="24"/>
        </w:rPr>
        <w:t xml:space="preserve"> </w:t>
      </w:r>
      <w:r w:rsidR="00BB7EE3" w:rsidRPr="00292998">
        <w:rPr>
          <w:rFonts w:ascii="Calibri" w:eastAsia="Times New Roman" w:hAnsi="Calibri" w:cs="Times New Roman"/>
          <w:iCs/>
          <w:sz w:val="24"/>
          <w:szCs w:val="24"/>
        </w:rPr>
        <w:t>kn,</w:t>
      </w:r>
      <w:r w:rsidR="009F29F9" w:rsidRPr="00292998">
        <w:rPr>
          <w:rFonts w:ascii="Calibri" w:eastAsia="Times New Roman" w:hAnsi="Calibri" w:cs="Times New Roman"/>
          <w:iCs/>
          <w:sz w:val="24"/>
          <w:szCs w:val="24"/>
        </w:rPr>
        <w:t xml:space="preserve"> a u</w:t>
      </w:r>
      <w:r w:rsidR="00E10FCB" w:rsidRPr="00292998">
        <w:rPr>
          <w:rFonts w:ascii="Calibri" w:eastAsia="Times New Roman" w:hAnsi="Calibri" w:cs="Times New Roman"/>
          <w:iCs/>
          <w:sz w:val="24"/>
          <w:szCs w:val="24"/>
        </w:rPr>
        <w:t xml:space="preserve"> 2019. godin</w:t>
      </w:r>
      <w:r w:rsidR="008A4006" w:rsidRPr="00292998">
        <w:rPr>
          <w:rFonts w:ascii="Calibri" w:eastAsia="Times New Roman" w:hAnsi="Calibri" w:cs="Times New Roman"/>
          <w:iCs/>
          <w:sz w:val="24"/>
          <w:szCs w:val="24"/>
        </w:rPr>
        <w:t>i</w:t>
      </w:r>
      <w:r w:rsidR="00E10FCB" w:rsidRPr="00292998">
        <w:rPr>
          <w:rFonts w:ascii="Calibri" w:eastAsia="Times New Roman" w:hAnsi="Calibri" w:cs="Times New Roman"/>
          <w:iCs/>
          <w:sz w:val="24"/>
          <w:szCs w:val="24"/>
        </w:rPr>
        <w:t xml:space="preserve"> 1.228.919,10 kn</w:t>
      </w:r>
      <w:r w:rsidR="009F29F9" w:rsidRPr="00292998">
        <w:rPr>
          <w:rFonts w:ascii="Calibri" w:eastAsia="Times New Roman" w:hAnsi="Calibri" w:cs="Times New Roman"/>
          <w:iCs/>
          <w:sz w:val="24"/>
          <w:szCs w:val="24"/>
        </w:rPr>
        <w:t>)</w:t>
      </w:r>
      <w:r w:rsidR="000A6FC0" w:rsidRPr="00292998">
        <w:rPr>
          <w:rFonts w:ascii="Calibri" w:eastAsia="Times New Roman" w:hAnsi="Calibri" w:cs="Times New Roman"/>
          <w:iCs/>
          <w:sz w:val="24"/>
          <w:szCs w:val="24"/>
        </w:rPr>
        <w:t>, a troškova</w:t>
      </w:r>
      <w:r w:rsidR="009F29F9" w:rsidRPr="00292998">
        <w:rPr>
          <w:rFonts w:ascii="Calibri" w:eastAsia="Times New Roman" w:hAnsi="Calibri" w:cs="Times New Roman"/>
          <w:iCs/>
          <w:sz w:val="24"/>
          <w:szCs w:val="24"/>
        </w:rPr>
        <w:t xml:space="preserve"> </w:t>
      </w:r>
      <w:r w:rsidR="00E10FCB" w:rsidRPr="00292998">
        <w:rPr>
          <w:rFonts w:ascii="Calibri" w:eastAsia="Times New Roman" w:hAnsi="Calibri" w:cs="Times New Roman"/>
          <w:iCs/>
          <w:sz w:val="24"/>
          <w:szCs w:val="24"/>
        </w:rPr>
        <w:t>ispitivanj</w:t>
      </w:r>
      <w:r w:rsidR="000A6FC0" w:rsidRPr="00292998">
        <w:rPr>
          <w:rFonts w:ascii="Calibri" w:eastAsia="Times New Roman" w:hAnsi="Calibri" w:cs="Times New Roman"/>
          <w:iCs/>
          <w:sz w:val="24"/>
          <w:szCs w:val="24"/>
        </w:rPr>
        <w:t>a</w:t>
      </w:r>
      <w:r w:rsidR="00E10FCB" w:rsidRPr="00292998">
        <w:rPr>
          <w:rFonts w:ascii="Calibri" w:eastAsia="Times New Roman" w:hAnsi="Calibri" w:cs="Times New Roman"/>
          <w:iCs/>
          <w:sz w:val="24"/>
          <w:szCs w:val="24"/>
        </w:rPr>
        <w:t xml:space="preserve"> nepropusnosti kanalizacijskih kolektora</w:t>
      </w:r>
      <w:r w:rsidR="000A6FC0" w:rsidRPr="00292998">
        <w:rPr>
          <w:rFonts w:ascii="Calibri" w:eastAsia="Times New Roman" w:hAnsi="Calibri" w:cs="Times New Roman"/>
          <w:iCs/>
          <w:sz w:val="24"/>
          <w:szCs w:val="24"/>
        </w:rPr>
        <w:t xml:space="preserve"> u 2020. godini nije bilo</w:t>
      </w:r>
      <w:r w:rsidR="00E10FCB" w:rsidRPr="00292998">
        <w:rPr>
          <w:rFonts w:ascii="Calibri" w:eastAsia="Times New Roman" w:hAnsi="Calibri" w:cs="Times New Roman"/>
          <w:iCs/>
          <w:sz w:val="24"/>
          <w:szCs w:val="24"/>
        </w:rPr>
        <w:t xml:space="preserve"> </w:t>
      </w:r>
      <w:r w:rsidR="009F29F9" w:rsidRPr="00292998">
        <w:rPr>
          <w:rFonts w:ascii="Calibri" w:eastAsia="Times New Roman" w:hAnsi="Calibri" w:cs="Times New Roman"/>
          <w:iCs/>
          <w:sz w:val="24"/>
          <w:szCs w:val="24"/>
        </w:rPr>
        <w:t>(u</w:t>
      </w:r>
      <w:r w:rsidR="00E10FCB" w:rsidRPr="00292998">
        <w:rPr>
          <w:rFonts w:ascii="Calibri" w:eastAsia="Times New Roman" w:hAnsi="Calibri" w:cs="Times New Roman"/>
          <w:iCs/>
          <w:sz w:val="24"/>
          <w:szCs w:val="24"/>
        </w:rPr>
        <w:t xml:space="preserve"> 2019.</w:t>
      </w:r>
      <w:r w:rsidR="0025083B" w:rsidRPr="00292998">
        <w:rPr>
          <w:rFonts w:ascii="Calibri" w:eastAsia="Times New Roman" w:hAnsi="Calibri" w:cs="Times New Roman"/>
          <w:iCs/>
          <w:sz w:val="24"/>
          <w:szCs w:val="24"/>
        </w:rPr>
        <w:t xml:space="preserve"> </w:t>
      </w:r>
      <w:r w:rsidR="00E10FCB" w:rsidRPr="00292998">
        <w:rPr>
          <w:rFonts w:ascii="Calibri" w:eastAsia="Times New Roman" w:hAnsi="Calibri" w:cs="Times New Roman"/>
          <w:iCs/>
          <w:sz w:val="24"/>
          <w:szCs w:val="24"/>
        </w:rPr>
        <w:t>g</w:t>
      </w:r>
      <w:r w:rsidR="0025083B" w:rsidRPr="00292998">
        <w:rPr>
          <w:rFonts w:ascii="Calibri" w:eastAsia="Times New Roman" w:hAnsi="Calibri" w:cs="Times New Roman"/>
          <w:iCs/>
          <w:sz w:val="24"/>
          <w:szCs w:val="24"/>
        </w:rPr>
        <w:t>odin</w:t>
      </w:r>
      <w:r w:rsidR="009F29F9" w:rsidRPr="00292998">
        <w:rPr>
          <w:rFonts w:ascii="Calibri" w:eastAsia="Times New Roman" w:hAnsi="Calibri" w:cs="Times New Roman"/>
          <w:iCs/>
          <w:sz w:val="24"/>
          <w:szCs w:val="24"/>
        </w:rPr>
        <w:t>i</w:t>
      </w:r>
      <w:r w:rsidR="00E10FCB" w:rsidRPr="00292998">
        <w:rPr>
          <w:rFonts w:ascii="Calibri" w:eastAsia="Times New Roman" w:hAnsi="Calibri" w:cs="Times New Roman"/>
          <w:iCs/>
          <w:sz w:val="24"/>
          <w:szCs w:val="24"/>
        </w:rPr>
        <w:t xml:space="preserve"> iznosi 490.878</w:t>
      </w:r>
      <w:r w:rsidR="000C5329" w:rsidRPr="00292998">
        <w:rPr>
          <w:rFonts w:ascii="Calibri" w:eastAsia="Times New Roman" w:hAnsi="Calibri" w:cs="Times New Roman"/>
          <w:iCs/>
          <w:sz w:val="24"/>
          <w:szCs w:val="24"/>
        </w:rPr>
        <w:t>,00</w:t>
      </w:r>
      <w:r w:rsidR="00E10FCB" w:rsidRPr="00292998">
        <w:rPr>
          <w:rFonts w:ascii="Calibri" w:eastAsia="Times New Roman" w:hAnsi="Calibri" w:cs="Times New Roman"/>
          <w:iCs/>
          <w:sz w:val="24"/>
          <w:szCs w:val="24"/>
        </w:rPr>
        <w:t xml:space="preserve"> kn).</w:t>
      </w:r>
    </w:p>
    <w:p w14:paraId="69242726" w14:textId="432C6D7D" w:rsidR="00E34BF0" w:rsidRPr="00FA3619" w:rsidRDefault="00E34BF0"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Ostali značajni troškovi održavanja su: </w:t>
      </w:r>
      <w:r w:rsidR="003442D8" w:rsidRPr="00292998">
        <w:rPr>
          <w:rFonts w:ascii="Calibri" w:eastAsia="Times New Roman" w:hAnsi="Calibri" w:cs="Times New Roman"/>
          <w:iCs/>
          <w:sz w:val="24"/>
          <w:szCs w:val="24"/>
        </w:rPr>
        <w:t>popravak pumpi</w:t>
      </w:r>
      <w:r w:rsidRPr="00292998">
        <w:rPr>
          <w:rFonts w:ascii="Calibri" w:eastAsia="Times New Roman" w:hAnsi="Calibri" w:cs="Times New Roman"/>
          <w:iCs/>
          <w:sz w:val="24"/>
          <w:szCs w:val="24"/>
        </w:rPr>
        <w:t xml:space="preserve"> </w:t>
      </w:r>
      <w:r w:rsidR="00000424" w:rsidRPr="00292998">
        <w:rPr>
          <w:rFonts w:ascii="Calibri" w:eastAsia="Times New Roman" w:hAnsi="Calibri" w:cs="Times New Roman"/>
          <w:iCs/>
          <w:sz w:val="24"/>
          <w:szCs w:val="24"/>
        </w:rPr>
        <w:t>289.534,00</w:t>
      </w:r>
      <w:r w:rsidR="003442D8" w:rsidRPr="00292998">
        <w:rPr>
          <w:rFonts w:ascii="Calibri" w:eastAsia="Times New Roman" w:hAnsi="Calibri" w:cs="Times New Roman"/>
          <w:iCs/>
          <w:sz w:val="24"/>
          <w:szCs w:val="24"/>
        </w:rPr>
        <w:t xml:space="preserve"> kn, radovi na</w:t>
      </w:r>
      <w:r w:rsidR="003442D8" w:rsidRPr="00FA3619">
        <w:rPr>
          <w:rFonts w:ascii="Calibri" w:eastAsia="Times New Roman" w:hAnsi="Calibri" w:cs="Times New Roman"/>
          <w:iCs/>
          <w:sz w:val="24"/>
          <w:szCs w:val="24"/>
        </w:rPr>
        <w:t xml:space="preserve">  podmorskim ispustima </w:t>
      </w:r>
      <w:r w:rsidR="00000424" w:rsidRPr="00FA3619">
        <w:rPr>
          <w:rFonts w:ascii="Calibri" w:eastAsia="Times New Roman" w:hAnsi="Calibri" w:cs="Times New Roman"/>
          <w:iCs/>
          <w:sz w:val="24"/>
          <w:szCs w:val="24"/>
        </w:rPr>
        <w:t>180.560</w:t>
      </w:r>
      <w:r w:rsidRPr="00FA3619">
        <w:rPr>
          <w:rFonts w:ascii="Calibri" w:eastAsia="Times New Roman" w:hAnsi="Calibri" w:cs="Times New Roman"/>
          <w:iCs/>
          <w:sz w:val="24"/>
          <w:szCs w:val="24"/>
        </w:rPr>
        <w:t>,00</w:t>
      </w:r>
      <w:r w:rsidR="003442D8" w:rsidRPr="00FA3619">
        <w:rPr>
          <w:rFonts w:ascii="Calibri" w:eastAsia="Times New Roman" w:hAnsi="Calibri" w:cs="Times New Roman"/>
          <w:iCs/>
          <w:sz w:val="24"/>
          <w:szCs w:val="24"/>
        </w:rPr>
        <w:t xml:space="preserve"> kn, popravak i servis vozila </w:t>
      </w:r>
      <w:r w:rsidR="003E42A6" w:rsidRPr="00FA3619">
        <w:rPr>
          <w:rFonts w:ascii="Calibri" w:eastAsia="Times New Roman" w:hAnsi="Calibri" w:cs="Times New Roman"/>
          <w:iCs/>
          <w:sz w:val="24"/>
          <w:szCs w:val="24"/>
        </w:rPr>
        <w:t>187</w:t>
      </w:r>
      <w:r w:rsidRPr="00FA3619">
        <w:rPr>
          <w:rFonts w:ascii="Calibri" w:eastAsia="Times New Roman" w:hAnsi="Calibri" w:cs="Times New Roman"/>
          <w:iCs/>
          <w:sz w:val="24"/>
          <w:szCs w:val="24"/>
        </w:rPr>
        <w:t>.</w:t>
      </w:r>
      <w:r w:rsidR="003E42A6" w:rsidRPr="00FA3619">
        <w:rPr>
          <w:rFonts w:ascii="Calibri" w:eastAsia="Times New Roman" w:hAnsi="Calibri" w:cs="Times New Roman"/>
          <w:iCs/>
          <w:sz w:val="24"/>
          <w:szCs w:val="24"/>
        </w:rPr>
        <w:t>714,00</w:t>
      </w:r>
      <w:r w:rsidR="003442D8" w:rsidRPr="00FA3619">
        <w:rPr>
          <w:rFonts w:ascii="Calibri" w:eastAsia="Times New Roman" w:hAnsi="Calibri" w:cs="Times New Roman"/>
          <w:iCs/>
          <w:sz w:val="24"/>
          <w:szCs w:val="24"/>
        </w:rPr>
        <w:t xml:space="preserve"> kn, održavanje kompjutorskih programa i telemetrije </w:t>
      </w:r>
      <w:r w:rsidR="00000424" w:rsidRPr="00FA3619">
        <w:rPr>
          <w:rFonts w:ascii="Calibri" w:eastAsia="Times New Roman" w:hAnsi="Calibri" w:cs="Times New Roman"/>
          <w:iCs/>
          <w:sz w:val="24"/>
          <w:szCs w:val="24"/>
        </w:rPr>
        <w:t>457</w:t>
      </w:r>
      <w:r w:rsidRPr="00FA3619">
        <w:rPr>
          <w:rFonts w:ascii="Calibri" w:eastAsia="Times New Roman" w:hAnsi="Calibri" w:cs="Times New Roman"/>
          <w:iCs/>
          <w:sz w:val="24"/>
          <w:szCs w:val="24"/>
        </w:rPr>
        <w:t>.</w:t>
      </w:r>
      <w:r w:rsidR="00000424" w:rsidRPr="00FA3619">
        <w:rPr>
          <w:rFonts w:ascii="Calibri" w:eastAsia="Times New Roman" w:hAnsi="Calibri" w:cs="Times New Roman"/>
          <w:iCs/>
          <w:sz w:val="24"/>
          <w:szCs w:val="24"/>
        </w:rPr>
        <w:t>596</w:t>
      </w:r>
      <w:r w:rsidRPr="00FA3619">
        <w:rPr>
          <w:rFonts w:ascii="Calibri" w:eastAsia="Times New Roman" w:hAnsi="Calibri" w:cs="Times New Roman"/>
          <w:iCs/>
          <w:sz w:val="24"/>
          <w:szCs w:val="24"/>
        </w:rPr>
        <w:t>,</w:t>
      </w:r>
      <w:r w:rsidR="00000424" w:rsidRPr="00FA3619">
        <w:rPr>
          <w:rFonts w:ascii="Calibri" w:eastAsia="Times New Roman" w:hAnsi="Calibri" w:cs="Times New Roman"/>
          <w:iCs/>
          <w:sz w:val="24"/>
          <w:szCs w:val="24"/>
        </w:rPr>
        <w:t>96</w:t>
      </w:r>
      <w:r w:rsidR="003442D8" w:rsidRPr="00FA3619">
        <w:rPr>
          <w:rFonts w:ascii="Calibri" w:eastAsia="Times New Roman" w:hAnsi="Calibri" w:cs="Times New Roman"/>
          <w:iCs/>
          <w:sz w:val="24"/>
          <w:szCs w:val="24"/>
        </w:rPr>
        <w:t xml:space="preserve"> kn, održavanje elektroopreme na </w:t>
      </w:r>
      <w:r w:rsidR="0025083B" w:rsidRPr="00FA3619">
        <w:rPr>
          <w:rFonts w:ascii="Calibri" w:eastAsia="Times New Roman" w:hAnsi="Calibri" w:cs="Times New Roman"/>
          <w:iCs/>
          <w:sz w:val="24"/>
          <w:szCs w:val="24"/>
        </w:rPr>
        <w:t>crpnim stanicama i vodospremama</w:t>
      </w:r>
      <w:r w:rsidR="003442D8" w:rsidRPr="00FA3619">
        <w:rPr>
          <w:rFonts w:ascii="Calibri" w:eastAsia="Times New Roman" w:hAnsi="Calibri" w:cs="Times New Roman"/>
          <w:iCs/>
          <w:sz w:val="24"/>
          <w:szCs w:val="24"/>
        </w:rPr>
        <w:t xml:space="preserve">  </w:t>
      </w:r>
      <w:r w:rsidR="00000424" w:rsidRPr="00FA3619">
        <w:rPr>
          <w:rFonts w:ascii="Calibri" w:eastAsia="Times New Roman" w:hAnsi="Calibri" w:cs="Times New Roman"/>
          <w:iCs/>
          <w:sz w:val="24"/>
          <w:szCs w:val="24"/>
        </w:rPr>
        <w:t>151.750,00</w:t>
      </w:r>
      <w:r w:rsidR="003442D8" w:rsidRPr="00FA3619">
        <w:rPr>
          <w:rFonts w:ascii="Calibri" w:eastAsia="Times New Roman" w:hAnsi="Calibri" w:cs="Times New Roman"/>
          <w:iCs/>
          <w:sz w:val="24"/>
          <w:szCs w:val="24"/>
        </w:rPr>
        <w:t xml:space="preserve"> kn</w:t>
      </w:r>
      <w:r w:rsidRPr="00FA3619">
        <w:rPr>
          <w:rFonts w:ascii="Calibri" w:eastAsia="Times New Roman" w:hAnsi="Calibri" w:cs="Times New Roman"/>
          <w:iCs/>
          <w:sz w:val="24"/>
          <w:szCs w:val="24"/>
        </w:rPr>
        <w:t>.</w:t>
      </w:r>
    </w:p>
    <w:p w14:paraId="2AFED2BE"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iCs/>
          <w:sz w:val="24"/>
          <w:szCs w:val="24"/>
        </w:rPr>
        <w:t xml:space="preserve"> </w:t>
      </w:r>
    </w:p>
    <w:p w14:paraId="0CE7991F"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/v/</w:t>
      </w:r>
      <w:r w:rsidRPr="00FA3619">
        <w:rPr>
          <w:rFonts w:ascii="Calibri" w:eastAsia="Times New Roman" w:hAnsi="Calibri" w:cs="Times New Roman"/>
          <w:sz w:val="24"/>
          <w:szCs w:val="24"/>
        </w:rPr>
        <w:tab/>
        <w:t>Administrativno računovodstveni troškovi odnose se na troškove prema društvu Ponikve usluga d.o.o. za pružene usluge prema ugovoru i dodacima ugovora o poslovnoj suradnji.</w:t>
      </w:r>
    </w:p>
    <w:p w14:paraId="2BE9E26D"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p>
    <w:p w14:paraId="11DE3EEB" w14:textId="77777777" w:rsidR="00E3653C" w:rsidRPr="00FA3619" w:rsidRDefault="00E3653C" w:rsidP="00E3653C">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/v</w:t>
      </w:r>
      <w:r>
        <w:rPr>
          <w:rFonts w:ascii="Calibri" w:eastAsia="Times New Roman" w:hAnsi="Calibri" w:cs="Times New Roman"/>
          <w:b/>
          <w:sz w:val="24"/>
          <w:szCs w:val="24"/>
        </w:rPr>
        <w:t>i</w:t>
      </w:r>
      <w:r w:rsidRPr="00FA3619">
        <w:rPr>
          <w:rFonts w:ascii="Calibri" w:eastAsia="Times New Roman" w:hAnsi="Calibri" w:cs="Times New Roman"/>
          <w:b/>
          <w:sz w:val="24"/>
          <w:szCs w:val="24"/>
        </w:rPr>
        <w:t>/</w:t>
      </w:r>
      <w:r w:rsidRPr="00FA3619">
        <w:rPr>
          <w:rFonts w:ascii="Calibri" w:eastAsia="Times New Roman" w:hAnsi="Calibri" w:cs="Times New Roman"/>
          <w:sz w:val="24"/>
          <w:szCs w:val="24"/>
        </w:rPr>
        <w:tab/>
      </w:r>
      <w:r>
        <w:rPr>
          <w:rFonts w:ascii="Calibri" w:eastAsia="Times New Roman" w:hAnsi="Calibri" w:cs="Times New Roman"/>
          <w:sz w:val="24"/>
          <w:szCs w:val="24"/>
        </w:rPr>
        <w:t xml:space="preserve">Društvo </w:t>
      </w:r>
      <w:r w:rsidRPr="00FA3619">
        <w:rPr>
          <w:rFonts w:ascii="Calibri" w:eastAsia="Times New Roman" w:hAnsi="Calibri" w:cs="Times New Roman"/>
          <w:bCs/>
          <w:iCs/>
          <w:sz w:val="24"/>
          <w:szCs w:val="24"/>
        </w:rPr>
        <w:t xml:space="preserve">u istom infrastrukturnom kanalu fekalne kanalizacije EU projekta </w:t>
      </w:r>
      <w:r>
        <w:rPr>
          <w:rFonts w:ascii="Calibri" w:eastAsia="Times New Roman" w:hAnsi="Calibri" w:cs="Times New Roman"/>
          <w:bCs/>
          <w:iCs/>
          <w:sz w:val="24"/>
          <w:szCs w:val="24"/>
        </w:rPr>
        <w:t xml:space="preserve">gradi i </w:t>
      </w:r>
      <w:r w:rsidRPr="00FA3619">
        <w:rPr>
          <w:rFonts w:ascii="Calibri" w:eastAsia="Times New Roman" w:hAnsi="Calibri" w:cs="Times New Roman"/>
          <w:bCs/>
          <w:iCs/>
          <w:sz w:val="24"/>
          <w:szCs w:val="24"/>
        </w:rPr>
        <w:t>elektroničk</w:t>
      </w:r>
      <w:r>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komunikacijsk</w:t>
      </w:r>
      <w:r>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mrež</w:t>
      </w:r>
      <w:r>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(EKM) otoka Krka </w:t>
      </w:r>
      <w:r>
        <w:rPr>
          <w:rFonts w:ascii="Calibri" w:eastAsia="Times New Roman" w:hAnsi="Calibri" w:cs="Times New Roman"/>
          <w:bCs/>
          <w:iCs/>
          <w:sz w:val="24"/>
          <w:szCs w:val="24"/>
        </w:rPr>
        <w:t xml:space="preserve">koju financira Ponikve eko otok Krk. U 2020. godini vrijednost izgrađene EKM mreže iznosi </w:t>
      </w:r>
      <w:r w:rsidRPr="00FA3619">
        <w:rPr>
          <w:rFonts w:ascii="Calibri" w:eastAsia="Times New Roman" w:hAnsi="Calibri" w:cs="Times New Roman"/>
          <w:bCs/>
          <w:iCs/>
          <w:sz w:val="24"/>
          <w:szCs w:val="24"/>
        </w:rPr>
        <w:t>6.729.380,13 kn</w:t>
      </w:r>
      <w:r>
        <w:rPr>
          <w:rFonts w:ascii="Calibri" w:eastAsia="Times New Roman" w:hAnsi="Calibri" w:cs="Times New Roman"/>
          <w:bCs/>
          <w:iCs/>
          <w:sz w:val="24"/>
          <w:szCs w:val="24"/>
        </w:rPr>
        <w:t xml:space="preserve">. Ostatak od 302.514,00 kn odnosi se na radove vezane uz EU projekt za druge pravne osobe. </w:t>
      </w:r>
    </w:p>
    <w:p w14:paraId="5AC7EEFF" w14:textId="139CF10F" w:rsidR="00437306" w:rsidRDefault="00437306" w:rsidP="003442D8">
      <w:pPr>
        <w:spacing w:after="0" w:line="240" w:lineRule="auto"/>
        <w:ind w:right="92"/>
        <w:jc w:val="both"/>
        <w:rPr>
          <w:rFonts w:ascii="Calibri" w:eastAsia="Times New Roman" w:hAnsi="Calibri" w:cs="Times New Roman"/>
          <w:sz w:val="24"/>
          <w:szCs w:val="24"/>
        </w:rPr>
      </w:pPr>
    </w:p>
    <w:p w14:paraId="06D87BF5" w14:textId="77777777" w:rsidR="001F6422" w:rsidRPr="00FA3619" w:rsidRDefault="001F6422" w:rsidP="003442D8">
      <w:pPr>
        <w:spacing w:after="0" w:line="240" w:lineRule="auto"/>
        <w:ind w:right="92"/>
        <w:jc w:val="both"/>
        <w:rPr>
          <w:rFonts w:ascii="Calibri" w:eastAsia="Times New Roman" w:hAnsi="Calibri" w:cs="Times New Roman"/>
          <w:sz w:val="24"/>
          <w:szCs w:val="24"/>
        </w:rPr>
      </w:pPr>
    </w:p>
    <w:p w14:paraId="0A7F49C8"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sz w:val="24"/>
          <w:szCs w:val="24"/>
        </w:rPr>
        <w:t xml:space="preserve"> </w:t>
      </w:r>
      <w:r w:rsidRPr="00FA3619">
        <w:rPr>
          <w:rFonts w:ascii="Calibri" w:eastAsia="Times New Roman" w:hAnsi="Calibri" w:cs="Times New Roman"/>
          <w:b/>
          <w:bCs/>
          <w:iCs/>
          <w:sz w:val="24"/>
          <w:szCs w:val="24"/>
        </w:rPr>
        <w:t xml:space="preserve">4.2. TROŠKOVI OSOBLJA </w:t>
      </w:r>
    </w:p>
    <w:p w14:paraId="7E376847"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2EA8621B" w14:textId="73591E52" w:rsidR="003442D8" w:rsidRPr="008F425B" w:rsidRDefault="004921C5" w:rsidP="003442D8">
      <w:pPr>
        <w:spacing w:after="0" w:line="240" w:lineRule="auto"/>
        <w:jc w:val="both"/>
        <w:rPr>
          <w:rFonts w:ascii="Calibri" w:eastAsia="Times New Roman" w:hAnsi="Calibri" w:cs="Times New Roman"/>
          <w:sz w:val="24"/>
          <w:szCs w:val="24"/>
        </w:rPr>
      </w:pPr>
      <w:r w:rsidRPr="00FA3619">
        <w:rPr>
          <w:rFonts w:ascii="Calibri" w:eastAsia="Times New Roman" w:hAnsi="Calibri" w:cs="Times New Roman"/>
          <w:sz w:val="24"/>
          <w:szCs w:val="24"/>
        </w:rPr>
        <w:t>Troškovi osoblja u 20</w:t>
      </w:r>
      <w:r w:rsidR="003E42A6" w:rsidRPr="00FA3619">
        <w:rPr>
          <w:rFonts w:ascii="Calibri" w:eastAsia="Times New Roman" w:hAnsi="Calibri" w:cs="Times New Roman"/>
          <w:sz w:val="24"/>
          <w:szCs w:val="24"/>
        </w:rPr>
        <w:t>20</w:t>
      </w:r>
      <w:r w:rsidR="003442D8" w:rsidRPr="00FA3619">
        <w:rPr>
          <w:rFonts w:ascii="Calibri" w:eastAsia="Times New Roman" w:hAnsi="Calibri" w:cs="Times New Roman"/>
          <w:sz w:val="24"/>
          <w:szCs w:val="24"/>
        </w:rPr>
        <w:t xml:space="preserve">. godini </w:t>
      </w:r>
      <w:r w:rsidR="003442D8" w:rsidRPr="000D568F">
        <w:rPr>
          <w:rFonts w:ascii="Calibri" w:eastAsia="Times New Roman" w:hAnsi="Calibri" w:cs="Times New Roman"/>
          <w:sz w:val="24"/>
          <w:szCs w:val="24"/>
        </w:rPr>
        <w:t>iznose 1</w:t>
      </w:r>
      <w:r w:rsidR="003E42A6" w:rsidRPr="000D568F">
        <w:rPr>
          <w:rFonts w:ascii="Calibri" w:eastAsia="Times New Roman" w:hAnsi="Calibri" w:cs="Times New Roman"/>
          <w:sz w:val="24"/>
          <w:szCs w:val="24"/>
        </w:rPr>
        <w:t>0</w:t>
      </w:r>
      <w:r w:rsidR="003442D8" w:rsidRPr="000D568F">
        <w:rPr>
          <w:rFonts w:ascii="Calibri" w:eastAsia="Times New Roman" w:hAnsi="Calibri" w:cs="Times New Roman"/>
          <w:sz w:val="24"/>
          <w:szCs w:val="24"/>
        </w:rPr>
        <w:t>.</w:t>
      </w:r>
      <w:r w:rsidR="003E42A6" w:rsidRPr="000D568F">
        <w:rPr>
          <w:rFonts w:ascii="Calibri" w:eastAsia="Times New Roman" w:hAnsi="Calibri" w:cs="Times New Roman"/>
          <w:sz w:val="24"/>
          <w:szCs w:val="24"/>
        </w:rPr>
        <w:t>716.309</w:t>
      </w:r>
      <w:r w:rsidR="004342C8" w:rsidRPr="000D568F">
        <w:rPr>
          <w:rFonts w:ascii="Calibri" w:eastAsia="Times New Roman" w:hAnsi="Calibri" w:cs="Times New Roman"/>
          <w:sz w:val="24"/>
          <w:szCs w:val="24"/>
        </w:rPr>
        <w:t>,</w:t>
      </w:r>
      <w:r w:rsidR="003E42A6" w:rsidRPr="000D568F">
        <w:rPr>
          <w:rFonts w:ascii="Calibri" w:eastAsia="Times New Roman" w:hAnsi="Calibri" w:cs="Times New Roman"/>
          <w:sz w:val="24"/>
          <w:szCs w:val="24"/>
        </w:rPr>
        <w:t>70</w:t>
      </w:r>
      <w:r w:rsidR="003442D8" w:rsidRPr="000D568F">
        <w:rPr>
          <w:rFonts w:ascii="Calibri" w:eastAsia="Times New Roman" w:hAnsi="Calibri" w:cs="Times New Roman"/>
          <w:sz w:val="24"/>
          <w:szCs w:val="24"/>
        </w:rPr>
        <w:t xml:space="preserve"> kn</w:t>
      </w:r>
      <w:r w:rsidR="003442D8" w:rsidRPr="00FA3619">
        <w:rPr>
          <w:rFonts w:ascii="Calibri" w:eastAsia="Times New Roman" w:hAnsi="Calibri" w:cs="Times New Roman"/>
          <w:sz w:val="24"/>
          <w:szCs w:val="24"/>
        </w:rPr>
        <w:t xml:space="preserve">. </w:t>
      </w:r>
      <w:r w:rsidRPr="00FA3619">
        <w:rPr>
          <w:rFonts w:ascii="Calibri" w:eastAsia="Times New Roman" w:hAnsi="Calibri" w:cs="Times New Roman"/>
          <w:sz w:val="24"/>
          <w:szCs w:val="24"/>
        </w:rPr>
        <w:t>Prosječna bruto plaća u 20</w:t>
      </w:r>
      <w:r w:rsidR="003E42A6" w:rsidRPr="00FA3619">
        <w:rPr>
          <w:rFonts w:ascii="Calibri" w:eastAsia="Times New Roman" w:hAnsi="Calibri" w:cs="Times New Roman"/>
          <w:sz w:val="24"/>
          <w:szCs w:val="24"/>
        </w:rPr>
        <w:t>20</w:t>
      </w:r>
      <w:r w:rsidR="003442D8" w:rsidRPr="00FA3619">
        <w:rPr>
          <w:rFonts w:ascii="Calibri" w:eastAsia="Times New Roman" w:hAnsi="Calibri" w:cs="Times New Roman"/>
          <w:sz w:val="24"/>
          <w:szCs w:val="24"/>
        </w:rPr>
        <w:t>. godini iznosila je</w:t>
      </w:r>
      <w:r w:rsidR="00072FC4" w:rsidRPr="00FA3619">
        <w:rPr>
          <w:rFonts w:ascii="Calibri" w:eastAsia="Times New Roman" w:hAnsi="Calibri" w:cs="Times New Roman"/>
          <w:sz w:val="24"/>
          <w:szCs w:val="24"/>
        </w:rPr>
        <w:t xml:space="preserve"> </w:t>
      </w:r>
      <w:r w:rsidR="003E42A6" w:rsidRPr="00FA3619">
        <w:rPr>
          <w:rFonts w:ascii="Calibri" w:eastAsia="Times New Roman" w:hAnsi="Calibri" w:cs="Times New Roman"/>
          <w:sz w:val="24"/>
          <w:szCs w:val="24"/>
        </w:rPr>
        <w:t>8.752,94</w:t>
      </w:r>
      <w:r w:rsidR="00072FC4" w:rsidRPr="00FA3619">
        <w:rPr>
          <w:rFonts w:ascii="Calibri" w:eastAsia="Times New Roman" w:hAnsi="Calibri" w:cs="Times New Roman"/>
          <w:sz w:val="24"/>
          <w:szCs w:val="24"/>
        </w:rPr>
        <w:t xml:space="preserve"> </w:t>
      </w:r>
      <w:r w:rsidR="003442D8" w:rsidRPr="00FA3619">
        <w:rPr>
          <w:rFonts w:ascii="Calibri" w:eastAsia="Times New Roman" w:hAnsi="Calibri" w:cs="Times New Roman"/>
          <w:sz w:val="24"/>
          <w:szCs w:val="24"/>
        </w:rPr>
        <w:t>kn, a</w:t>
      </w:r>
      <w:r w:rsidRPr="00FA3619">
        <w:rPr>
          <w:rFonts w:ascii="Calibri" w:eastAsia="Times New Roman" w:hAnsi="Calibri" w:cs="Times New Roman"/>
          <w:sz w:val="24"/>
          <w:szCs w:val="24"/>
        </w:rPr>
        <w:t xml:space="preserve"> neto </w:t>
      </w:r>
      <w:r w:rsidR="00072FC4" w:rsidRPr="00FA3619">
        <w:rPr>
          <w:rFonts w:ascii="Calibri" w:eastAsia="Times New Roman" w:hAnsi="Calibri" w:cs="Times New Roman"/>
          <w:sz w:val="24"/>
          <w:szCs w:val="24"/>
        </w:rPr>
        <w:t>6.</w:t>
      </w:r>
      <w:r w:rsidR="003E42A6" w:rsidRPr="00FA3619">
        <w:rPr>
          <w:rFonts w:ascii="Calibri" w:eastAsia="Times New Roman" w:hAnsi="Calibri" w:cs="Times New Roman"/>
          <w:sz w:val="24"/>
          <w:szCs w:val="24"/>
        </w:rPr>
        <w:t>545</w:t>
      </w:r>
      <w:r w:rsidR="00072FC4" w:rsidRPr="00FA3619">
        <w:rPr>
          <w:rFonts w:ascii="Calibri" w:eastAsia="Times New Roman" w:hAnsi="Calibri" w:cs="Times New Roman"/>
          <w:sz w:val="24"/>
          <w:szCs w:val="24"/>
        </w:rPr>
        <w:t>,</w:t>
      </w:r>
      <w:r w:rsidR="003E42A6" w:rsidRPr="00FA3619">
        <w:rPr>
          <w:rFonts w:ascii="Calibri" w:eastAsia="Times New Roman" w:hAnsi="Calibri" w:cs="Times New Roman"/>
          <w:sz w:val="24"/>
          <w:szCs w:val="24"/>
        </w:rPr>
        <w:t>32</w:t>
      </w:r>
      <w:r w:rsidRPr="00FA3619">
        <w:rPr>
          <w:rFonts w:ascii="Calibri" w:eastAsia="Times New Roman" w:hAnsi="Calibri" w:cs="Times New Roman"/>
          <w:sz w:val="24"/>
          <w:szCs w:val="24"/>
        </w:rPr>
        <w:t xml:space="preserve"> kn, dok je u 201</w:t>
      </w:r>
      <w:r w:rsidR="003E42A6" w:rsidRPr="00FA3619">
        <w:rPr>
          <w:rFonts w:ascii="Calibri" w:eastAsia="Times New Roman" w:hAnsi="Calibri" w:cs="Times New Roman"/>
          <w:sz w:val="24"/>
          <w:szCs w:val="24"/>
        </w:rPr>
        <w:t>9</w:t>
      </w:r>
      <w:r w:rsidR="003442D8" w:rsidRPr="00FA3619">
        <w:rPr>
          <w:rFonts w:ascii="Calibri" w:eastAsia="Times New Roman" w:hAnsi="Calibri" w:cs="Times New Roman"/>
          <w:sz w:val="24"/>
          <w:szCs w:val="24"/>
        </w:rPr>
        <w:t xml:space="preserve">. godini prosječna bruto plaća iznosila </w:t>
      </w:r>
      <w:r w:rsidRPr="00FA3619">
        <w:rPr>
          <w:rFonts w:ascii="Calibri" w:eastAsia="Times New Roman" w:hAnsi="Calibri" w:cs="Times New Roman"/>
          <w:sz w:val="24"/>
          <w:szCs w:val="24"/>
        </w:rPr>
        <w:t>9.1</w:t>
      </w:r>
      <w:r w:rsidR="003E42A6" w:rsidRPr="00FA3619">
        <w:rPr>
          <w:rFonts w:ascii="Calibri" w:eastAsia="Times New Roman" w:hAnsi="Calibri" w:cs="Times New Roman"/>
          <w:sz w:val="24"/>
          <w:szCs w:val="24"/>
        </w:rPr>
        <w:t>58</w:t>
      </w:r>
      <w:r w:rsidRPr="00FA3619">
        <w:rPr>
          <w:rFonts w:ascii="Calibri" w:eastAsia="Times New Roman" w:hAnsi="Calibri" w:cs="Times New Roman"/>
          <w:sz w:val="24"/>
          <w:szCs w:val="24"/>
        </w:rPr>
        <w:t>,</w:t>
      </w:r>
      <w:r w:rsidR="003E42A6" w:rsidRPr="00FA3619">
        <w:rPr>
          <w:rFonts w:ascii="Calibri" w:eastAsia="Times New Roman" w:hAnsi="Calibri" w:cs="Times New Roman"/>
          <w:sz w:val="24"/>
          <w:szCs w:val="24"/>
        </w:rPr>
        <w:t>08</w:t>
      </w:r>
      <w:r w:rsidR="003442D8" w:rsidRPr="00FA3619">
        <w:rPr>
          <w:rFonts w:ascii="Calibri" w:eastAsia="Times New Roman" w:hAnsi="Calibri" w:cs="Times New Roman"/>
          <w:sz w:val="24"/>
          <w:szCs w:val="24"/>
        </w:rPr>
        <w:t xml:space="preserve"> kn, a neto </w:t>
      </w:r>
      <w:r w:rsidRPr="00FA3619">
        <w:rPr>
          <w:rFonts w:ascii="Calibri" w:eastAsia="Times New Roman" w:hAnsi="Calibri" w:cs="Times New Roman"/>
          <w:sz w:val="24"/>
          <w:szCs w:val="24"/>
        </w:rPr>
        <w:t>6.7</w:t>
      </w:r>
      <w:r w:rsidR="003E42A6" w:rsidRPr="00FA3619">
        <w:rPr>
          <w:rFonts w:ascii="Calibri" w:eastAsia="Times New Roman" w:hAnsi="Calibri" w:cs="Times New Roman"/>
          <w:sz w:val="24"/>
          <w:szCs w:val="24"/>
        </w:rPr>
        <w:t>52</w:t>
      </w:r>
      <w:r w:rsidRPr="00FA3619">
        <w:rPr>
          <w:rFonts w:ascii="Calibri" w:eastAsia="Times New Roman" w:hAnsi="Calibri" w:cs="Times New Roman"/>
          <w:sz w:val="24"/>
          <w:szCs w:val="24"/>
        </w:rPr>
        <w:t>,</w:t>
      </w:r>
      <w:r w:rsidR="003E42A6" w:rsidRPr="00FA3619">
        <w:rPr>
          <w:rFonts w:ascii="Calibri" w:eastAsia="Times New Roman" w:hAnsi="Calibri" w:cs="Times New Roman"/>
          <w:sz w:val="24"/>
          <w:szCs w:val="24"/>
        </w:rPr>
        <w:t>73</w:t>
      </w:r>
      <w:r w:rsidR="003442D8" w:rsidRPr="00FA3619">
        <w:rPr>
          <w:rFonts w:ascii="Calibri" w:eastAsia="Times New Roman" w:hAnsi="Calibri" w:cs="Times New Roman"/>
          <w:sz w:val="24"/>
          <w:szCs w:val="24"/>
        </w:rPr>
        <w:t xml:space="preserve"> kn.</w:t>
      </w:r>
      <w:r w:rsidR="003442D8" w:rsidRPr="008F425B">
        <w:rPr>
          <w:rFonts w:ascii="Calibri" w:eastAsia="Times New Roman" w:hAnsi="Calibri" w:cs="Times New Roman"/>
          <w:sz w:val="24"/>
          <w:szCs w:val="24"/>
        </w:rPr>
        <w:t xml:space="preserve"> </w:t>
      </w:r>
    </w:p>
    <w:p w14:paraId="4A820AC0" w14:textId="0AC271A2" w:rsidR="001F6422" w:rsidRDefault="001F6422" w:rsidP="003442D8">
      <w:pPr>
        <w:spacing w:after="0" w:line="240" w:lineRule="auto"/>
        <w:ind w:right="92"/>
        <w:jc w:val="both"/>
        <w:rPr>
          <w:rFonts w:ascii="Calibri" w:eastAsia="Times New Roman" w:hAnsi="Calibri" w:cs="Times New Roman"/>
          <w:iCs/>
          <w:sz w:val="20"/>
          <w:szCs w:val="20"/>
        </w:rPr>
      </w:pPr>
    </w:p>
    <w:p w14:paraId="608DF7D1" w14:textId="77777777" w:rsidR="001F6422" w:rsidRPr="008F425B" w:rsidRDefault="001F6422" w:rsidP="003442D8">
      <w:pPr>
        <w:spacing w:after="0" w:line="240" w:lineRule="auto"/>
        <w:ind w:right="92"/>
        <w:jc w:val="both"/>
        <w:rPr>
          <w:rFonts w:ascii="Calibri" w:eastAsia="Times New Roman" w:hAnsi="Calibri" w:cs="Times New Roman"/>
          <w:iCs/>
          <w:sz w:val="20"/>
          <w:szCs w:val="20"/>
        </w:rPr>
      </w:pPr>
    </w:p>
    <w:p w14:paraId="05F09EB6" w14:textId="77777777" w:rsidR="003442D8" w:rsidRPr="00FA3619" w:rsidRDefault="003442D8" w:rsidP="003442D8">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4.3. AMORTIZACIJA </w:t>
      </w:r>
    </w:p>
    <w:p w14:paraId="7B055660" w14:textId="77777777" w:rsidR="003442D8" w:rsidRPr="00FA3619" w:rsidRDefault="003442D8" w:rsidP="003442D8">
      <w:pPr>
        <w:spacing w:after="0" w:line="240" w:lineRule="auto"/>
        <w:ind w:right="92"/>
        <w:rPr>
          <w:rFonts w:ascii="Calibri" w:eastAsia="Times New Roman" w:hAnsi="Calibri" w:cs="Times New Roman"/>
          <w:b/>
          <w:bCs/>
          <w:iCs/>
          <w:color w:val="FF0000"/>
          <w:sz w:val="24"/>
          <w:szCs w:val="24"/>
        </w:rPr>
      </w:pPr>
    </w:p>
    <w:p w14:paraId="16CFA2CB" w14:textId="015E2E7D" w:rsidR="003442D8" w:rsidRPr="00FA3619" w:rsidRDefault="004921C5"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Troškovi amortizacije za 20</w:t>
      </w:r>
      <w:r w:rsidR="003E42A6" w:rsidRPr="00FA3619">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xml:space="preserve">. godinu iznose </w:t>
      </w:r>
      <w:r w:rsidR="00E34BF0" w:rsidRPr="00FA3619">
        <w:rPr>
          <w:rFonts w:ascii="Calibri" w:eastAsia="Times New Roman" w:hAnsi="Calibri" w:cs="Times New Roman"/>
          <w:iCs/>
          <w:sz w:val="24"/>
          <w:szCs w:val="24"/>
        </w:rPr>
        <w:t>19.</w:t>
      </w:r>
      <w:r w:rsidR="003E42A6" w:rsidRPr="00FA3619">
        <w:rPr>
          <w:rFonts w:ascii="Calibri" w:eastAsia="Times New Roman" w:hAnsi="Calibri" w:cs="Times New Roman"/>
          <w:iCs/>
          <w:sz w:val="24"/>
          <w:szCs w:val="24"/>
        </w:rPr>
        <w:t>801</w:t>
      </w:r>
      <w:r w:rsidR="00E34BF0" w:rsidRPr="00FA3619">
        <w:rPr>
          <w:rFonts w:ascii="Calibri" w:eastAsia="Times New Roman" w:hAnsi="Calibri" w:cs="Times New Roman"/>
          <w:iCs/>
          <w:sz w:val="24"/>
          <w:szCs w:val="24"/>
        </w:rPr>
        <w:t>.</w:t>
      </w:r>
      <w:r w:rsidR="003E42A6" w:rsidRPr="00FA3619">
        <w:rPr>
          <w:rFonts w:ascii="Calibri" w:eastAsia="Times New Roman" w:hAnsi="Calibri" w:cs="Times New Roman"/>
          <w:iCs/>
          <w:sz w:val="24"/>
          <w:szCs w:val="24"/>
        </w:rPr>
        <w:t>153</w:t>
      </w:r>
      <w:r w:rsidR="00E34BF0" w:rsidRPr="00FA3619">
        <w:rPr>
          <w:rFonts w:ascii="Calibri" w:eastAsia="Times New Roman" w:hAnsi="Calibri" w:cs="Times New Roman"/>
          <w:iCs/>
          <w:sz w:val="24"/>
          <w:szCs w:val="24"/>
        </w:rPr>
        <w:t>,</w:t>
      </w:r>
      <w:r w:rsidR="003E42A6" w:rsidRPr="00FA3619">
        <w:rPr>
          <w:rFonts w:ascii="Calibri" w:eastAsia="Times New Roman" w:hAnsi="Calibri" w:cs="Times New Roman"/>
          <w:iCs/>
          <w:sz w:val="24"/>
          <w:szCs w:val="24"/>
        </w:rPr>
        <w:t>70</w:t>
      </w:r>
      <w:r w:rsidR="003442D8" w:rsidRPr="00FA3619">
        <w:rPr>
          <w:rFonts w:ascii="Calibri" w:eastAsia="Times New Roman" w:hAnsi="Calibri" w:cs="Times New Roman"/>
          <w:iCs/>
          <w:sz w:val="24"/>
          <w:szCs w:val="24"/>
        </w:rPr>
        <w:t xml:space="preserve"> kn. Društvo je kod obračuna amortizacije primijenilo iste</w:t>
      </w:r>
      <w:r w:rsidRPr="00FA3619">
        <w:rPr>
          <w:rFonts w:ascii="Calibri" w:eastAsia="Times New Roman" w:hAnsi="Calibri" w:cs="Times New Roman"/>
          <w:iCs/>
          <w:sz w:val="24"/>
          <w:szCs w:val="24"/>
        </w:rPr>
        <w:t xml:space="preserve"> stope amortizacije kao i u 201</w:t>
      </w:r>
      <w:r w:rsidR="003E42A6" w:rsidRPr="00FA3619">
        <w:rPr>
          <w:rFonts w:ascii="Calibri" w:eastAsia="Times New Roman" w:hAnsi="Calibri" w:cs="Times New Roman"/>
          <w:iCs/>
          <w:sz w:val="24"/>
          <w:szCs w:val="24"/>
        </w:rPr>
        <w:t>9</w:t>
      </w:r>
      <w:r w:rsidR="003442D8" w:rsidRPr="00FA3619">
        <w:rPr>
          <w:rFonts w:ascii="Calibri" w:eastAsia="Times New Roman" w:hAnsi="Calibri" w:cs="Times New Roman"/>
          <w:iCs/>
          <w:sz w:val="24"/>
          <w:szCs w:val="24"/>
        </w:rPr>
        <w:t>. godini.</w:t>
      </w:r>
    </w:p>
    <w:p w14:paraId="36A50F1A" w14:textId="2EE1D9EF" w:rsidR="003442D8" w:rsidRPr="00FA3619" w:rsidRDefault="003442D8" w:rsidP="003442D8">
      <w:pPr>
        <w:tabs>
          <w:tab w:val="left" w:pos="-180"/>
        </w:tabs>
        <w:spacing w:after="0" w:line="240" w:lineRule="auto"/>
        <w:ind w:right="140"/>
        <w:jc w:val="both"/>
        <w:rPr>
          <w:rFonts w:ascii="Calibri" w:eastAsia="Times New Roman" w:hAnsi="Calibri" w:cs="Times New Roman"/>
          <w:color w:val="000000"/>
          <w:sz w:val="24"/>
          <w:szCs w:val="24"/>
        </w:rPr>
      </w:pPr>
      <w:r w:rsidRPr="00FA3619">
        <w:rPr>
          <w:rFonts w:ascii="Calibri" w:eastAsia="Times New Roman" w:hAnsi="Calibri" w:cs="Times New Roman"/>
          <w:iCs/>
          <w:sz w:val="24"/>
          <w:szCs w:val="24"/>
        </w:rPr>
        <w:t>Kao što je navedeno u Bilješkama 2. b) /ii/ i 22. a) /iii/, Društvo je iskazalo prihod u visini obračunate amortizacije imovine nabavljene iz sredstava potpora u iznosu od 5.</w:t>
      </w:r>
      <w:r w:rsidR="003E42A6" w:rsidRPr="00FA3619">
        <w:rPr>
          <w:rFonts w:ascii="Calibri" w:eastAsia="Times New Roman" w:hAnsi="Calibri" w:cs="Times New Roman"/>
          <w:iCs/>
          <w:sz w:val="24"/>
          <w:szCs w:val="24"/>
        </w:rPr>
        <w:t>682.656,44</w:t>
      </w:r>
      <w:r w:rsidR="00E34BF0" w:rsidRPr="00FA3619">
        <w:rPr>
          <w:rFonts w:ascii="Calibri" w:eastAsia="Times New Roman" w:hAnsi="Calibri" w:cs="Times New Roman"/>
          <w:iCs/>
          <w:sz w:val="24"/>
          <w:szCs w:val="24"/>
        </w:rPr>
        <w:t xml:space="preserve"> kn</w:t>
      </w:r>
      <w:r w:rsidRPr="00FA3619">
        <w:rPr>
          <w:rFonts w:ascii="Calibri" w:eastAsia="Times New Roman" w:hAnsi="Calibri" w:cs="Times New Roman"/>
          <w:iCs/>
          <w:sz w:val="24"/>
          <w:szCs w:val="24"/>
        </w:rPr>
        <w:t xml:space="preserve"> </w:t>
      </w:r>
      <w:r w:rsidR="00A13525" w:rsidRPr="00FA3619">
        <w:rPr>
          <w:rFonts w:ascii="Calibri" w:eastAsia="Times New Roman" w:hAnsi="Calibri" w:cs="Times New Roman"/>
          <w:iCs/>
          <w:sz w:val="24"/>
          <w:szCs w:val="24"/>
        </w:rPr>
        <w:t xml:space="preserve">pa je utjecaj na rezultat </w:t>
      </w:r>
      <w:r w:rsidRPr="00FA3619">
        <w:rPr>
          <w:rFonts w:ascii="Calibri" w:eastAsia="Times New Roman" w:hAnsi="Calibri" w:cs="Times New Roman"/>
          <w:iCs/>
          <w:sz w:val="24"/>
          <w:szCs w:val="24"/>
        </w:rPr>
        <w:t xml:space="preserve">Društva </w:t>
      </w:r>
      <w:r w:rsidR="00E34BF0" w:rsidRPr="00FA3619">
        <w:rPr>
          <w:rFonts w:ascii="Calibri" w:eastAsia="Times New Roman" w:hAnsi="Calibri" w:cs="Times New Roman"/>
          <w:iCs/>
          <w:sz w:val="24"/>
          <w:szCs w:val="24"/>
        </w:rPr>
        <w:t>14.</w:t>
      </w:r>
      <w:r w:rsidR="003E42A6" w:rsidRPr="00FA3619">
        <w:rPr>
          <w:rFonts w:ascii="Calibri" w:eastAsia="Times New Roman" w:hAnsi="Calibri" w:cs="Times New Roman"/>
          <w:iCs/>
          <w:sz w:val="24"/>
          <w:szCs w:val="24"/>
        </w:rPr>
        <w:t>118.497,26</w:t>
      </w:r>
      <w:r w:rsidRPr="00FA3619">
        <w:rPr>
          <w:rFonts w:ascii="Calibri" w:eastAsia="Times New Roman" w:hAnsi="Calibri" w:cs="Times New Roman"/>
          <w:iCs/>
          <w:sz w:val="24"/>
          <w:szCs w:val="24"/>
        </w:rPr>
        <w:t xml:space="preserve"> kn. </w:t>
      </w:r>
    </w:p>
    <w:p w14:paraId="75412B9D"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Primijenjene stope ne prelaze porezno dopustive stope.</w:t>
      </w:r>
    </w:p>
    <w:p w14:paraId="603317B3" w14:textId="4168EDF5" w:rsidR="003442D8" w:rsidRDefault="003442D8" w:rsidP="003442D8">
      <w:pPr>
        <w:spacing w:after="0" w:line="240" w:lineRule="auto"/>
        <w:ind w:right="92"/>
        <w:jc w:val="both"/>
        <w:rPr>
          <w:rFonts w:ascii="Calibri" w:eastAsia="Times New Roman" w:hAnsi="Calibri" w:cs="Times New Roman"/>
          <w:iCs/>
          <w:sz w:val="24"/>
          <w:szCs w:val="24"/>
        </w:rPr>
      </w:pPr>
    </w:p>
    <w:p w14:paraId="717DB275" w14:textId="52A53415" w:rsidR="001F6422" w:rsidRDefault="001F6422" w:rsidP="003442D8">
      <w:pPr>
        <w:spacing w:after="0" w:line="240" w:lineRule="auto"/>
        <w:ind w:right="92"/>
        <w:jc w:val="both"/>
        <w:rPr>
          <w:rFonts w:ascii="Calibri" w:eastAsia="Times New Roman" w:hAnsi="Calibri" w:cs="Times New Roman"/>
          <w:iCs/>
          <w:sz w:val="24"/>
          <w:szCs w:val="24"/>
        </w:rPr>
      </w:pPr>
    </w:p>
    <w:p w14:paraId="26CBE93D" w14:textId="77BF9A4E" w:rsidR="001F6422" w:rsidRDefault="001F6422" w:rsidP="003442D8">
      <w:pPr>
        <w:spacing w:after="0" w:line="240" w:lineRule="auto"/>
        <w:ind w:right="92"/>
        <w:jc w:val="both"/>
        <w:rPr>
          <w:rFonts w:ascii="Calibri" w:eastAsia="Times New Roman" w:hAnsi="Calibri" w:cs="Times New Roman"/>
          <w:iCs/>
          <w:sz w:val="24"/>
          <w:szCs w:val="24"/>
        </w:rPr>
      </w:pPr>
    </w:p>
    <w:p w14:paraId="0C8F97AD" w14:textId="7BBA8CB4" w:rsidR="001F6422" w:rsidRDefault="001F6422" w:rsidP="003442D8">
      <w:pPr>
        <w:spacing w:after="0" w:line="240" w:lineRule="auto"/>
        <w:ind w:right="92"/>
        <w:jc w:val="both"/>
        <w:rPr>
          <w:rFonts w:ascii="Calibri" w:eastAsia="Times New Roman" w:hAnsi="Calibri" w:cs="Times New Roman"/>
          <w:iCs/>
          <w:sz w:val="24"/>
          <w:szCs w:val="24"/>
        </w:rPr>
      </w:pPr>
    </w:p>
    <w:p w14:paraId="3EB4D2D2" w14:textId="3A089ED4" w:rsidR="001F6422" w:rsidRDefault="001F6422" w:rsidP="003442D8">
      <w:pPr>
        <w:spacing w:after="0" w:line="240" w:lineRule="auto"/>
        <w:ind w:right="92"/>
        <w:jc w:val="both"/>
        <w:rPr>
          <w:rFonts w:ascii="Calibri" w:eastAsia="Times New Roman" w:hAnsi="Calibri" w:cs="Times New Roman"/>
          <w:iCs/>
          <w:sz w:val="24"/>
          <w:szCs w:val="24"/>
        </w:rPr>
      </w:pPr>
    </w:p>
    <w:p w14:paraId="77C1EB00" w14:textId="656163D9" w:rsidR="001F6422" w:rsidRDefault="001F6422" w:rsidP="003442D8">
      <w:pPr>
        <w:spacing w:after="0" w:line="240" w:lineRule="auto"/>
        <w:ind w:right="92"/>
        <w:jc w:val="both"/>
        <w:rPr>
          <w:rFonts w:ascii="Calibri" w:eastAsia="Times New Roman" w:hAnsi="Calibri" w:cs="Times New Roman"/>
          <w:iCs/>
          <w:sz w:val="24"/>
          <w:szCs w:val="24"/>
        </w:rPr>
      </w:pPr>
    </w:p>
    <w:p w14:paraId="6440579E" w14:textId="136E35CC" w:rsidR="001F6422" w:rsidRDefault="001F6422" w:rsidP="003442D8">
      <w:pPr>
        <w:spacing w:after="0" w:line="240" w:lineRule="auto"/>
        <w:ind w:right="92"/>
        <w:jc w:val="both"/>
        <w:rPr>
          <w:rFonts w:ascii="Calibri" w:eastAsia="Times New Roman" w:hAnsi="Calibri" w:cs="Times New Roman"/>
          <w:iCs/>
          <w:sz w:val="24"/>
          <w:szCs w:val="24"/>
        </w:rPr>
      </w:pPr>
    </w:p>
    <w:p w14:paraId="06128E15" w14:textId="10E16D3C" w:rsidR="001F6422" w:rsidRDefault="001F6422" w:rsidP="003442D8">
      <w:pPr>
        <w:spacing w:after="0" w:line="240" w:lineRule="auto"/>
        <w:ind w:right="92"/>
        <w:jc w:val="both"/>
        <w:rPr>
          <w:rFonts w:ascii="Calibri" w:eastAsia="Times New Roman" w:hAnsi="Calibri" w:cs="Times New Roman"/>
          <w:iCs/>
          <w:sz w:val="24"/>
          <w:szCs w:val="24"/>
        </w:rPr>
      </w:pPr>
    </w:p>
    <w:p w14:paraId="332853B7" w14:textId="77777777" w:rsidR="001F6422" w:rsidRPr="00FA3619" w:rsidRDefault="001F6422" w:rsidP="003442D8">
      <w:pPr>
        <w:spacing w:after="0" w:line="240" w:lineRule="auto"/>
        <w:ind w:right="92"/>
        <w:jc w:val="both"/>
        <w:rPr>
          <w:rFonts w:ascii="Calibri" w:eastAsia="Times New Roman" w:hAnsi="Calibri" w:cs="Times New Roman"/>
          <w:iCs/>
          <w:sz w:val="24"/>
          <w:szCs w:val="24"/>
        </w:rPr>
      </w:pPr>
    </w:p>
    <w:p w14:paraId="2DE0BFF4" w14:textId="1917876D" w:rsidR="003442D8" w:rsidRPr="00FA3619" w:rsidRDefault="003442D8" w:rsidP="003442D8">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lastRenderedPageBreak/>
        <w:t xml:space="preserve">4.4. OSTALI TROŠKOVI </w:t>
      </w:r>
    </w:p>
    <w:p w14:paraId="36B3327F" w14:textId="13A4FA12" w:rsidR="00A152FD" w:rsidRPr="00FA3619" w:rsidRDefault="00A152FD" w:rsidP="003442D8">
      <w:pPr>
        <w:spacing w:after="0" w:line="240" w:lineRule="auto"/>
        <w:ind w:right="92"/>
        <w:jc w:val="both"/>
        <w:rPr>
          <w:rFonts w:ascii="Calibri" w:eastAsia="Times New Roman" w:hAnsi="Calibri" w:cs="Times New Roman"/>
          <w:b/>
          <w:bCs/>
          <w:iCs/>
          <w:sz w:val="24"/>
          <w:szCs w:val="24"/>
        </w:rPr>
      </w:pPr>
    </w:p>
    <w:p w14:paraId="3B1A4667" w14:textId="36772ACC" w:rsidR="00A152FD" w:rsidRPr="00A152FD" w:rsidRDefault="00A152FD"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troškove čine:</w:t>
      </w:r>
    </w:p>
    <w:bookmarkStart w:id="19" w:name="_MON_1647249694"/>
    <w:bookmarkEnd w:id="19"/>
    <w:p w14:paraId="04FE2D95" w14:textId="12FA9384" w:rsidR="00A152FD" w:rsidRPr="00FA3619" w:rsidRDefault="0079343D" w:rsidP="003442D8">
      <w:pPr>
        <w:spacing w:after="0" w:line="240" w:lineRule="auto"/>
        <w:ind w:right="92"/>
        <w:jc w:val="both"/>
        <w:rPr>
          <w:bCs/>
          <w:iCs/>
        </w:rPr>
      </w:pPr>
      <w:r w:rsidRPr="00FA3619">
        <w:rPr>
          <w:bCs/>
          <w:iCs/>
        </w:rPr>
        <w:object w:dxaOrig="9210" w:dyaOrig="3853" w14:anchorId="7FA4343E">
          <v:shape id="_x0000_i1030" type="#_x0000_t75" style="width:459.75pt;height:193.5pt" o:ole="">
            <v:imagedata r:id="rId19" o:title=""/>
          </v:shape>
          <o:OLEObject Type="Embed" ProgID="Excel.Sheet.12" ShapeID="_x0000_i1030" DrawAspect="Content" ObjectID="_1684915223" r:id="rId20"/>
        </w:object>
      </w:r>
    </w:p>
    <w:p w14:paraId="44E5FDC1" w14:textId="668E87D7" w:rsidR="003442D8" w:rsidRPr="00FA3619" w:rsidRDefault="003442D8" w:rsidP="003442D8">
      <w:pPr>
        <w:spacing w:after="0" w:line="240" w:lineRule="auto"/>
        <w:ind w:right="92"/>
        <w:jc w:val="both"/>
        <w:rPr>
          <w:rFonts w:ascii="Calibri" w:eastAsia="Times New Roman" w:hAnsi="Calibri" w:cs="Times New Roman"/>
          <w:bCs/>
          <w:iCs/>
          <w:sz w:val="24"/>
          <w:szCs w:val="24"/>
        </w:rPr>
      </w:pPr>
    </w:p>
    <w:p w14:paraId="4FE9BA2E" w14:textId="77777777" w:rsidR="00A13525" w:rsidRPr="00FA3619" w:rsidRDefault="00A13525" w:rsidP="003442D8">
      <w:pPr>
        <w:spacing w:after="0" w:line="240" w:lineRule="auto"/>
        <w:ind w:right="92"/>
        <w:jc w:val="both"/>
        <w:rPr>
          <w:rFonts w:ascii="Calibri" w:eastAsia="Times New Roman" w:hAnsi="Calibri" w:cs="Times New Roman"/>
          <w:b/>
          <w:bCs/>
          <w:iCs/>
          <w:sz w:val="24"/>
          <w:szCs w:val="24"/>
        </w:rPr>
      </w:pPr>
    </w:p>
    <w:p w14:paraId="330C3642" w14:textId="6E4B0AC9" w:rsidR="003442D8" w:rsidRPr="00FA3619" w:rsidRDefault="003442D8" w:rsidP="003442D8">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4.5. VRIJEDNOSNO USKLAĐIVANJE </w:t>
      </w:r>
    </w:p>
    <w:p w14:paraId="768A636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6138589" w14:textId="3EE6DEE0" w:rsidR="003442D8" w:rsidRPr="00FA3619" w:rsidRDefault="00E34BF0"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u 20</w:t>
      </w:r>
      <w:r w:rsidR="00DF694A" w:rsidRPr="00FA3619">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xml:space="preserve">. godini izvršilo vrijednosno usklađenje i otpis potraživanja u ukupnom iznosu od </w:t>
      </w:r>
      <w:r w:rsidRPr="00FA3619">
        <w:rPr>
          <w:rFonts w:ascii="Calibri" w:eastAsia="Times New Roman" w:hAnsi="Calibri" w:cs="Times New Roman"/>
          <w:iCs/>
          <w:sz w:val="24"/>
          <w:szCs w:val="24"/>
        </w:rPr>
        <w:t>3</w:t>
      </w:r>
      <w:r w:rsidR="00DF694A" w:rsidRPr="00FA3619">
        <w:rPr>
          <w:rFonts w:ascii="Calibri" w:eastAsia="Times New Roman" w:hAnsi="Calibri" w:cs="Times New Roman"/>
          <w:iCs/>
          <w:sz w:val="24"/>
          <w:szCs w:val="24"/>
        </w:rPr>
        <w:t>19</w:t>
      </w:r>
      <w:r w:rsidRPr="00FA3619">
        <w:rPr>
          <w:rFonts w:ascii="Calibri" w:eastAsia="Times New Roman" w:hAnsi="Calibri" w:cs="Times New Roman"/>
          <w:iCs/>
          <w:sz w:val="24"/>
          <w:szCs w:val="24"/>
        </w:rPr>
        <w:t>.</w:t>
      </w:r>
      <w:r w:rsidR="00DF694A" w:rsidRPr="00FA3619">
        <w:rPr>
          <w:rFonts w:ascii="Calibri" w:eastAsia="Times New Roman" w:hAnsi="Calibri" w:cs="Times New Roman"/>
          <w:iCs/>
          <w:sz w:val="24"/>
          <w:szCs w:val="24"/>
        </w:rPr>
        <w:t>962</w:t>
      </w:r>
      <w:r w:rsidRPr="00FA3619">
        <w:rPr>
          <w:rFonts w:ascii="Calibri" w:eastAsia="Times New Roman" w:hAnsi="Calibri" w:cs="Times New Roman"/>
          <w:iCs/>
          <w:sz w:val="24"/>
          <w:szCs w:val="24"/>
        </w:rPr>
        <w:t>,3</w:t>
      </w:r>
      <w:r w:rsidR="00DF694A" w:rsidRPr="00FA3619">
        <w:rPr>
          <w:rFonts w:ascii="Calibri" w:eastAsia="Times New Roman" w:hAnsi="Calibri" w:cs="Times New Roman"/>
          <w:iCs/>
          <w:sz w:val="24"/>
          <w:szCs w:val="24"/>
        </w:rPr>
        <w:t xml:space="preserve">1 </w:t>
      </w:r>
      <w:r w:rsidR="003442D8" w:rsidRPr="00FA3619">
        <w:rPr>
          <w:rFonts w:ascii="Calibri" w:eastAsia="Times New Roman" w:hAnsi="Calibri" w:cs="Times New Roman"/>
          <w:iCs/>
          <w:sz w:val="24"/>
          <w:szCs w:val="24"/>
        </w:rPr>
        <w:t>kn (Bilješka 1</w:t>
      </w:r>
      <w:r w:rsidR="004C7A53">
        <w:rPr>
          <w:rFonts w:ascii="Calibri" w:eastAsia="Times New Roman" w:hAnsi="Calibri" w:cs="Times New Roman"/>
          <w:iCs/>
          <w:sz w:val="24"/>
          <w:szCs w:val="24"/>
        </w:rPr>
        <w:t>1</w:t>
      </w:r>
      <w:r w:rsidR="003442D8" w:rsidRPr="00FA3619">
        <w:rPr>
          <w:rFonts w:ascii="Calibri" w:eastAsia="Times New Roman" w:hAnsi="Calibri" w:cs="Times New Roman"/>
          <w:iCs/>
          <w:sz w:val="24"/>
          <w:szCs w:val="24"/>
        </w:rPr>
        <w:t xml:space="preserve"> /iii/). </w:t>
      </w:r>
      <w:r w:rsidR="00F05ED5" w:rsidRPr="00FA3619">
        <w:rPr>
          <w:rFonts w:ascii="Calibri" w:eastAsia="Times New Roman" w:hAnsi="Calibri" w:cs="Times New Roman"/>
          <w:iCs/>
          <w:sz w:val="24"/>
          <w:szCs w:val="24"/>
        </w:rPr>
        <w:t xml:space="preserve">Zbog nemogućnosti naplate Društvo je otpisalo </w:t>
      </w:r>
      <w:r w:rsidR="00F05ED5" w:rsidRPr="00C97F93">
        <w:rPr>
          <w:rFonts w:ascii="Calibri" w:eastAsia="Times New Roman" w:hAnsi="Calibri" w:cs="Times New Roman"/>
          <w:iCs/>
          <w:sz w:val="24"/>
          <w:szCs w:val="24"/>
        </w:rPr>
        <w:t xml:space="preserve">potraživanja u ukupnoj vrijednosti od 25.131,68 kn, a zbog neizvjesne naplate vrijednosno je uskladilo 294.830,63 kn potraživanja. </w:t>
      </w:r>
      <w:r w:rsidR="003442D8" w:rsidRPr="00C97F93">
        <w:rPr>
          <w:rFonts w:ascii="Calibri" w:eastAsia="Times New Roman" w:hAnsi="Calibri" w:cs="Times New Roman"/>
          <w:iCs/>
          <w:sz w:val="24"/>
          <w:szCs w:val="24"/>
        </w:rPr>
        <w:t xml:space="preserve">Značajni kupci koji su vrijednosno usklađeni su:  </w:t>
      </w:r>
      <w:r w:rsidR="00DF694A" w:rsidRPr="00C97F93">
        <w:rPr>
          <w:rFonts w:ascii="Calibri" w:eastAsia="Times New Roman" w:hAnsi="Calibri" w:cs="Times New Roman"/>
          <w:iCs/>
          <w:sz w:val="24"/>
          <w:szCs w:val="24"/>
        </w:rPr>
        <w:t xml:space="preserve">Byder projektiranje d.o.o. </w:t>
      </w:r>
      <w:r w:rsidR="00A13525" w:rsidRPr="00C97F93">
        <w:rPr>
          <w:rFonts w:ascii="Calibri" w:eastAsia="Times New Roman" w:hAnsi="Calibri" w:cs="Times New Roman"/>
          <w:iCs/>
          <w:sz w:val="24"/>
          <w:szCs w:val="24"/>
        </w:rPr>
        <w:t xml:space="preserve">Malinska </w:t>
      </w:r>
      <w:r w:rsidR="00DF694A" w:rsidRPr="00C97F93">
        <w:rPr>
          <w:rFonts w:ascii="Calibri" w:eastAsia="Times New Roman" w:hAnsi="Calibri" w:cs="Times New Roman"/>
          <w:iCs/>
          <w:sz w:val="24"/>
          <w:szCs w:val="24"/>
        </w:rPr>
        <w:t>58.265,27</w:t>
      </w:r>
      <w:r w:rsidR="00AF07A5" w:rsidRPr="00C97F93">
        <w:rPr>
          <w:rFonts w:ascii="Calibri" w:eastAsia="Times New Roman" w:hAnsi="Calibri" w:cs="Times New Roman"/>
          <w:iCs/>
          <w:sz w:val="24"/>
          <w:szCs w:val="24"/>
        </w:rPr>
        <w:t xml:space="preserve"> </w:t>
      </w:r>
      <w:r w:rsidR="00DF694A" w:rsidRPr="00C97F93">
        <w:rPr>
          <w:rFonts w:ascii="Calibri" w:eastAsia="Times New Roman" w:hAnsi="Calibri" w:cs="Times New Roman"/>
          <w:iCs/>
          <w:sz w:val="24"/>
          <w:szCs w:val="24"/>
        </w:rPr>
        <w:t>kn,</w:t>
      </w:r>
      <w:r w:rsidR="00AF07A5" w:rsidRPr="00C97F93">
        <w:rPr>
          <w:rFonts w:ascii="Calibri" w:eastAsia="Times New Roman" w:hAnsi="Calibri" w:cs="Times New Roman"/>
          <w:iCs/>
          <w:sz w:val="24"/>
          <w:szCs w:val="24"/>
        </w:rPr>
        <w:t xml:space="preserve"> </w:t>
      </w:r>
      <w:r w:rsidR="00DF694A" w:rsidRPr="00C97F93">
        <w:rPr>
          <w:rFonts w:ascii="Calibri" w:eastAsia="Times New Roman" w:hAnsi="Calibri" w:cs="Times New Roman"/>
          <w:iCs/>
          <w:sz w:val="24"/>
          <w:szCs w:val="24"/>
        </w:rPr>
        <w:t>Herc</w:t>
      </w:r>
      <w:r w:rsidR="00F05ED5" w:rsidRPr="00C97F93">
        <w:rPr>
          <w:rFonts w:ascii="Calibri" w:eastAsia="Times New Roman" w:hAnsi="Calibri" w:cs="Times New Roman"/>
          <w:iCs/>
          <w:sz w:val="24"/>
          <w:szCs w:val="24"/>
        </w:rPr>
        <w:t xml:space="preserve"> i </w:t>
      </w:r>
      <w:r w:rsidR="00DF694A" w:rsidRPr="00C97F93">
        <w:rPr>
          <w:rFonts w:ascii="Calibri" w:eastAsia="Times New Roman" w:hAnsi="Calibri" w:cs="Times New Roman"/>
          <w:iCs/>
          <w:sz w:val="24"/>
          <w:szCs w:val="24"/>
        </w:rPr>
        <w:t xml:space="preserve">Herc d.o.o. </w:t>
      </w:r>
      <w:r w:rsidR="00F05ED5" w:rsidRPr="00C97F93">
        <w:rPr>
          <w:rFonts w:ascii="Calibri" w:eastAsia="Times New Roman" w:hAnsi="Calibri" w:cs="Times New Roman"/>
          <w:iCs/>
          <w:sz w:val="24"/>
          <w:szCs w:val="24"/>
        </w:rPr>
        <w:t xml:space="preserve">Zagreb </w:t>
      </w:r>
      <w:r w:rsidR="00DF694A" w:rsidRPr="00C97F93">
        <w:rPr>
          <w:rFonts w:ascii="Calibri" w:eastAsia="Times New Roman" w:hAnsi="Calibri" w:cs="Times New Roman"/>
          <w:iCs/>
          <w:sz w:val="24"/>
          <w:szCs w:val="24"/>
        </w:rPr>
        <w:t>47.132,79 kn,</w:t>
      </w:r>
      <w:r w:rsidR="00A13525" w:rsidRPr="00C97F93">
        <w:rPr>
          <w:rFonts w:ascii="Calibri" w:eastAsia="Times New Roman" w:hAnsi="Calibri" w:cs="Times New Roman"/>
          <w:iCs/>
          <w:sz w:val="24"/>
          <w:szCs w:val="24"/>
        </w:rPr>
        <w:t xml:space="preserve"> </w:t>
      </w:r>
      <w:r w:rsidR="00DF694A" w:rsidRPr="00C97F93">
        <w:rPr>
          <w:rFonts w:ascii="Calibri" w:eastAsia="Times New Roman" w:hAnsi="Calibri" w:cs="Times New Roman"/>
          <w:iCs/>
          <w:sz w:val="24"/>
          <w:szCs w:val="24"/>
        </w:rPr>
        <w:t>Pograd d.o.o. Čabar 40.068,61</w:t>
      </w:r>
      <w:r w:rsidR="00AF07A5" w:rsidRPr="00C97F93">
        <w:rPr>
          <w:rFonts w:ascii="Calibri" w:eastAsia="Times New Roman" w:hAnsi="Calibri" w:cs="Times New Roman"/>
          <w:iCs/>
          <w:sz w:val="24"/>
          <w:szCs w:val="24"/>
        </w:rPr>
        <w:t xml:space="preserve"> </w:t>
      </w:r>
      <w:r w:rsidR="00DF694A" w:rsidRPr="00C97F93">
        <w:rPr>
          <w:rFonts w:ascii="Calibri" w:eastAsia="Times New Roman" w:hAnsi="Calibri" w:cs="Times New Roman"/>
          <w:iCs/>
          <w:sz w:val="24"/>
          <w:szCs w:val="24"/>
        </w:rPr>
        <w:t>kn,</w:t>
      </w:r>
      <w:r w:rsidR="00AF07A5" w:rsidRPr="00C97F93">
        <w:rPr>
          <w:rFonts w:ascii="Calibri" w:eastAsia="Times New Roman" w:hAnsi="Calibri" w:cs="Times New Roman"/>
          <w:iCs/>
          <w:sz w:val="24"/>
          <w:szCs w:val="24"/>
        </w:rPr>
        <w:t xml:space="preserve"> </w:t>
      </w:r>
      <w:r w:rsidR="00DF694A" w:rsidRPr="00C97F93">
        <w:rPr>
          <w:rFonts w:ascii="Calibri" w:eastAsia="Times New Roman" w:hAnsi="Calibri" w:cs="Times New Roman"/>
          <w:iCs/>
          <w:sz w:val="24"/>
          <w:szCs w:val="24"/>
        </w:rPr>
        <w:t>Macao d.o.o. Šilo</w:t>
      </w:r>
      <w:r w:rsidR="00AF07A5" w:rsidRPr="00C97F93">
        <w:rPr>
          <w:rFonts w:ascii="Calibri" w:eastAsia="Times New Roman" w:hAnsi="Calibri" w:cs="Times New Roman"/>
          <w:iCs/>
          <w:sz w:val="24"/>
          <w:szCs w:val="24"/>
        </w:rPr>
        <w:t xml:space="preserve"> 32.599,06 </w:t>
      </w:r>
      <w:r w:rsidR="003442D8" w:rsidRPr="00C97F93">
        <w:rPr>
          <w:rFonts w:ascii="Calibri" w:eastAsia="Times New Roman" w:hAnsi="Calibri" w:cs="Times New Roman"/>
          <w:iCs/>
          <w:sz w:val="24"/>
          <w:szCs w:val="24"/>
        </w:rPr>
        <w:t>kn</w:t>
      </w:r>
      <w:r w:rsidR="00C00B79" w:rsidRPr="00C97F93">
        <w:rPr>
          <w:rFonts w:ascii="Calibri" w:eastAsia="Times New Roman" w:hAnsi="Calibri" w:cs="Times New Roman"/>
          <w:iCs/>
          <w:sz w:val="24"/>
          <w:szCs w:val="24"/>
        </w:rPr>
        <w:t xml:space="preserve"> (Bilješka 11.5.).</w:t>
      </w:r>
    </w:p>
    <w:p w14:paraId="04FDD30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895BD7D" w14:textId="262764E1" w:rsidR="003442D8" w:rsidRPr="00FA3619" w:rsidRDefault="003442D8" w:rsidP="003442D8">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b/>
          <w:iCs/>
          <w:sz w:val="24"/>
          <w:szCs w:val="24"/>
        </w:rPr>
        <w:t xml:space="preserve">4.6.  OSTALI POSLOVNI RASHODI </w:t>
      </w:r>
    </w:p>
    <w:p w14:paraId="5055C49C" w14:textId="77777777" w:rsidR="00A152FD" w:rsidRPr="00FA3619" w:rsidRDefault="00A152FD" w:rsidP="003442D8">
      <w:pPr>
        <w:spacing w:after="0" w:line="240" w:lineRule="auto"/>
        <w:ind w:right="92"/>
        <w:jc w:val="both"/>
        <w:rPr>
          <w:rFonts w:ascii="Calibri" w:eastAsia="Times New Roman" w:hAnsi="Calibri" w:cs="Times New Roman"/>
          <w:b/>
          <w:iCs/>
          <w:sz w:val="24"/>
          <w:szCs w:val="24"/>
        </w:rPr>
      </w:pPr>
    </w:p>
    <w:p w14:paraId="7F55769F" w14:textId="5D6BE609" w:rsidR="003442D8" w:rsidRPr="00FA3619" w:rsidRDefault="00E34BF0"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iCs/>
          <w:sz w:val="24"/>
          <w:szCs w:val="24"/>
        </w:rPr>
        <w:t>U 20</w:t>
      </w:r>
      <w:r w:rsidR="00AF07A5" w:rsidRPr="00FA3619">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godini ostali poslovni rashodi izno</w:t>
      </w:r>
      <w:r w:rsidR="00F438A6" w:rsidRPr="00FA3619">
        <w:rPr>
          <w:rFonts w:ascii="Calibri" w:eastAsia="Times New Roman" w:hAnsi="Calibri" w:cs="Times New Roman"/>
          <w:iCs/>
          <w:sz w:val="24"/>
          <w:szCs w:val="24"/>
        </w:rPr>
        <w:t xml:space="preserve">se </w:t>
      </w:r>
      <w:r w:rsidR="00AF07A5" w:rsidRPr="00FA3619">
        <w:rPr>
          <w:rFonts w:ascii="Calibri" w:eastAsia="Times New Roman" w:hAnsi="Calibri" w:cs="Times New Roman"/>
          <w:iCs/>
          <w:sz w:val="24"/>
          <w:szCs w:val="24"/>
        </w:rPr>
        <w:t>57.949,63</w:t>
      </w:r>
      <w:r w:rsidR="003442D8" w:rsidRPr="00FA3619">
        <w:rPr>
          <w:rFonts w:ascii="Calibri" w:eastAsia="Times New Roman" w:hAnsi="Calibri" w:cs="Times New Roman"/>
          <w:iCs/>
          <w:sz w:val="24"/>
          <w:szCs w:val="24"/>
        </w:rPr>
        <w:t xml:space="preserve"> kn, od </w:t>
      </w:r>
      <w:r w:rsidR="003442D8" w:rsidRPr="00FA3619">
        <w:rPr>
          <w:rFonts w:ascii="Calibri" w:eastAsia="Times New Roman" w:hAnsi="Calibri" w:cs="Times New Roman"/>
          <w:sz w:val="24"/>
          <w:szCs w:val="24"/>
        </w:rPr>
        <w:t>čega se na</w:t>
      </w:r>
      <w:r w:rsidR="003442D8" w:rsidRPr="00FA3619">
        <w:rPr>
          <w:rFonts w:ascii="Calibri" w:eastAsia="Times New Roman" w:hAnsi="Calibri" w:cs="Times New Roman"/>
          <w:b/>
          <w:iCs/>
          <w:sz w:val="24"/>
          <w:szCs w:val="24"/>
        </w:rPr>
        <w:t xml:space="preserve"> </w:t>
      </w:r>
      <w:r w:rsidR="003442D8" w:rsidRPr="00FA3619">
        <w:rPr>
          <w:rFonts w:ascii="Calibri" w:eastAsia="Times New Roman" w:hAnsi="Calibri" w:cs="Times New Roman"/>
          <w:bCs/>
          <w:iCs/>
          <w:sz w:val="24"/>
          <w:szCs w:val="24"/>
        </w:rPr>
        <w:t>neotpisanu vrijed</w:t>
      </w:r>
      <w:r w:rsidR="00B13C8C" w:rsidRPr="00FA3619">
        <w:rPr>
          <w:rFonts w:ascii="Calibri" w:eastAsia="Times New Roman" w:hAnsi="Calibri" w:cs="Times New Roman"/>
          <w:bCs/>
          <w:iCs/>
          <w:sz w:val="24"/>
          <w:szCs w:val="24"/>
        </w:rPr>
        <w:t xml:space="preserve">nost rashodovane imovine odnosi </w:t>
      </w:r>
      <w:r w:rsidR="00AF07A5" w:rsidRPr="00FA3619">
        <w:rPr>
          <w:rFonts w:ascii="Calibri" w:eastAsia="Times New Roman" w:hAnsi="Calibri" w:cs="Times New Roman"/>
          <w:bCs/>
          <w:iCs/>
          <w:sz w:val="24"/>
          <w:szCs w:val="24"/>
        </w:rPr>
        <w:t>7.538,02</w:t>
      </w:r>
      <w:r w:rsidRPr="00FA3619">
        <w:rPr>
          <w:rFonts w:ascii="Calibri" w:eastAsia="Times New Roman" w:hAnsi="Calibri" w:cs="Times New Roman"/>
          <w:sz w:val="24"/>
          <w:szCs w:val="24"/>
        </w:rPr>
        <w:t xml:space="preserve"> kn.</w:t>
      </w:r>
    </w:p>
    <w:p w14:paraId="0CB4B0B2" w14:textId="77D16BEA" w:rsidR="00F642EB" w:rsidRPr="00FA3619" w:rsidRDefault="00F642EB" w:rsidP="00F642EB">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sz w:val="24"/>
          <w:szCs w:val="24"/>
        </w:rPr>
        <w:t xml:space="preserve">Iznos od </w:t>
      </w:r>
      <w:r w:rsidR="00AF07A5" w:rsidRPr="00FA3619">
        <w:rPr>
          <w:rFonts w:ascii="Calibri" w:eastAsia="Times New Roman" w:hAnsi="Calibri" w:cs="Times New Roman"/>
          <w:sz w:val="24"/>
          <w:szCs w:val="24"/>
        </w:rPr>
        <w:t>50.31</w:t>
      </w:r>
      <w:r w:rsidR="002E4EF3" w:rsidRPr="00FA3619">
        <w:rPr>
          <w:rFonts w:ascii="Calibri" w:eastAsia="Times New Roman" w:hAnsi="Calibri" w:cs="Times New Roman"/>
          <w:sz w:val="24"/>
          <w:szCs w:val="24"/>
        </w:rPr>
        <w:t>2</w:t>
      </w:r>
      <w:r w:rsidR="00AF07A5" w:rsidRPr="00FA3619">
        <w:rPr>
          <w:rFonts w:ascii="Calibri" w:eastAsia="Times New Roman" w:hAnsi="Calibri" w:cs="Times New Roman"/>
          <w:sz w:val="24"/>
          <w:szCs w:val="24"/>
        </w:rPr>
        <w:t>,50</w:t>
      </w:r>
      <w:r w:rsidRPr="00FA3619">
        <w:rPr>
          <w:rFonts w:ascii="Calibri" w:eastAsia="Times New Roman" w:hAnsi="Calibri" w:cs="Times New Roman"/>
          <w:sz w:val="24"/>
          <w:szCs w:val="24"/>
        </w:rPr>
        <w:t xml:space="preserve"> kn odnosi se na</w:t>
      </w:r>
      <w:r w:rsidR="00E168C2" w:rsidRPr="00FA3619">
        <w:rPr>
          <w:rFonts w:ascii="Calibri" w:eastAsia="Times New Roman" w:hAnsi="Calibri" w:cs="Times New Roman"/>
          <w:sz w:val="24"/>
          <w:szCs w:val="24"/>
        </w:rPr>
        <w:t xml:space="preserve"> </w:t>
      </w:r>
      <w:r w:rsidR="00AF07A5" w:rsidRPr="00FA3619">
        <w:rPr>
          <w:rFonts w:ascii="Calibri" w:eastAsia="Times New Roman" w:hAnsi="Calibri" w:cs="Times New Roman"/>
          <w:sz w:val="24"/>
          <w:szCs w:val="24"/>
        </w:rPr>
        <w:t>plaćene kazne i prekršaje, a  9</w:t>
      </w:r>
      <w:r w:rsidR="002E4EF3" w:rsidRPr="00FA3619">
        <w:rPr>
          <w:rFonts w:ascii="Calibri" w:eastAsia="Times New Roman" w:hAnsi="Calibri" w:cs="Times New Roman"/>
          <w:sz w:val="24"/>
          <w:szCs w:val="24"/>
        </w:rPr>
        <w:t>9</w:t>
      </w:r>
      <w:r w:rsidR="00AF07A5" w:rsidRPr="00FA3619">
        <w:rPr>
          <w:rFonts w:ascii="Calibri" w:eastAsia="Times New Roman" w:hAnsi="Calibri" w:cs="Times New Roman"/>
          <w:sz w:val="24"/>
          <w:szCs w:val="24"/>
        </w:rPr>
        <w:t>,11 kn  su ostali rashodi</w:t>
      </w:r>
      <w:r w:rsidRPr="00FA3619">
        <w:rPr>
          <w:rFonts w:ascii="Calibri" w:eastAsia="Times New Roman" w:hAnsi="Calibri" w:cs="Times New Roman"/>
          <w:sz w:val="24"/>
          <w:szCs w:val="24"/>
        </w:rPr>
        <w:t>.</w:t>
      </w:r>
    </w:p>
    <w:p w14:paraId="6BE0E143" w14:textId="7313B39C" w:rsidR="00F642EB" w:rsidRDefault="00F642EB" w:rsidP="003442D8">
      <w:pPr>
        <w:spacing w:after="0" w:line="240" w:lineRule="auto"/>
        <w:jc w:val="both"/>
        <w:rPr>
          <w:rFonts w:ascii="Calibri" w:eastAsia="Times New Roman" w:hAnsi="Calibri" w:cs="Times New Roman"/>
          <w:sz w:val="24"/>
          <w:szCs w:val="24"/>
        </w:rPr>
      </w:pPr>
    </w:p>
    <w:p w14:paraId="55DE55E4" w14:textId="7E342644" w:rsidR="000D568F" w:rsidRDefault="000D568F" w:rsidP="003442D8">
      <w:pPr>
        <w:spacing w:after="0" w:line="240" w:lineRule="auto"/>
        <w:jc w:val="both"/>
        <w:rPr>
          <w:rFonts w:ascii="Calibri" w:eastAsia="Times New Roman" w:hAnsi="Calibri" w:cs="Times New Roman"/>
          <w:sz w:val="24"/>
          <w:szCs w:val="24"/>
        </w:rPr>
      </w:pPr>
    </w:p>
    <w:p w14:paraId="31ACF0F8" w14:textId="77777777" w:rsidR="001F6422" w:rsidRPr="00FA3619" w:rsidRDefault="001F6422" w:rsidP="003442D8">
      <w:pPr>
        <w:spacing w:after="0" w:line="240" w:lineRule="auto"/>
        <w:jc w:val="both"/>
        <w:rPr>
          <w:rFonts w:ascii="Calibri" w:eastAsia="Times New Roman" w:hAnsi="Calibri" w:cs="Times New Roman"/>
          <w:sz w:val="24"/>
          <w:szCs w:val="24"/>
        </w:rPr>
      </w:pPr>
    </w:p>
    <w:p w14:paraId="2D2EAE85" w14:textId="77777777" w:rsidR="003442D8" w:rsidRPr="00AD0D10" w:rsidRDefault="003442D8" w:rsidP="00AD0D10">
      <w:pPr>
        <w:pStyle w:val="ListParagraph"/>
        <w:numPr>
          <w:ilvl w:val="0"/>
          <w:numId w:val="1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FINANCIJSKI RASHODI </w:t>
      </w:r>
    </w:p>
    <w:p w14:paraId="72E9DC6F"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10BA9067" w14:textId="77777777" w:rsidR="003442D8" w:rsidRPr="00FA3619" w:rsidRDefault="003442D8" w:rsidP="003442D8">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Financijske rashode čine:</w:t>
      </w:r>
    </w:p>
    <w:bookmarkStart w:id="20" w:name="_MON_1647250846"/>
    <w:bookmarkEnd w:id="20"/>
    <w:p w14:paraId="60427F7B" w14:textId="26070C2E" w:rsidR="003442D8" w:rsidRPr="008F425B" w:rsidRDefault="004C7A53" w:rsidP="003442D8">
      <w:pPr>
        <w:spacing w:after="0" w:line="240" w:lineRule="auto"/>
        <w:ind w:right="92"/>
        <w:jc w:val="both"/>
        <w:rPr>
          <w:rFonts w:ascii="Calibri" w:eastAsia="Times New Roman" w:hAnsi="Calibri" w:cs="Times New Roman"/>
          <w:b/>
          <w:bCs/>
          <w:iCs/>
          <w:sz w:val="24"/>
          <w:szCs w:val="24"/>
        </w:rPr>
      </w:pPr>
      <w:r w:rsidRPr="00FA3619">
        <w:rPr>
          <w:bCs/>
          <w:iCs/>
        </w:rPr>
        <w:object w:dxaOrig="8501" w:dyaOrig="2300" w14:anchorId="24DB6B1A">
          <v:shape id="_x0000_i1031" type="#_x0000_t75" style="width:444.75pt;height:110.25pt" o:ole="">
            <v:imagedata r:id="rId21" o:title=""/>
          </v:shape>
          <o:OLEObject Type="Embed" ProgID="Excel.Sheet.12" ShapeID="_x0000_i1031" DrawAspect="Content" ObjectID="_1684915224" r:id="rId22"/>
        </w:object>
      </w:r>
    </w:p>
    <w:p w14:paraId="72217722" w14:textId="56FA4923" w:rsidR="003442D8" w:rsidRDefault="008D20D3" w:rsidP="003442D8">
      <w:pPr>
        <w:spacing w:after="0" w:line="240" w:lineRule="auto"/>
        <w:ind w:right="92"/>
        <w:jc w:val="both"/>
        <w:rPr>
          <w:rFonts w:ascii="Calibri" w:eastAsia="Times New Roman" w:hAnsi="Calibri" w:cs="Times New Roman"/>
          <w:b/>
          <w:bCs/>
          <w:iCs/>
          <w:color w:val="FF0000"/>
          <w:sz w:val="10"/>
          <w:szCs w:val="10"/>
        </w:rPr>
      </w:pPr>
      <w:r>
        <w:rPr>
          <w:rFonts w:ascii="Calibri" w:eastAsia="Times New Roman" w:hAnsi="Calibri" w:cs="Times New Roman"/>
          <w:b/>
          <w:bCs/>
          <w:iCs/>
          <w:color w:val="FF0000"/>
          <w:sz w:val="10"/>
          <w:szCs w:val="10"/>
        </w:rPr>
        <w:t xml:space="preserve">  </w:t>
      </w:r>
    </w:p>
    <w:p w14:paraId="6E43F801" w14:textId="77777777" w:rsidR="00C4074E" w:rsidRDefault="00C4074E" w:rsidP="003442D8">
      <w:pPr>
        <w:tabs>
          <w:tab w:val="left" w:pos="1380"/>
        </w:tabs>
        <w:spacing w:after="0" w:line="240" w:lineRule="auto"/>
        <w:ind w:right="92"/>
        <w:jc w:val="both"/>
        <w:rPr>
          <w:rFonts w:ascii="Calibri" w:eastAsia="Times New Roman" w:hAnsi="Calibri" w:cs="Times New Roman"/>
          <w:b/>
          <w:bCs/>
          <w:iCs/>
          <w:sz w:val="24"/>
          <w:szCs w:val="24"/>
        </w:rPr>
      </w:pPr>
    </w:p>
    <w:p w14:paraId="55830176" w14:textId="2DC4B441" w:rsidR="003442D8" w:rsidRPr="008F425B" w:rsidRDefault="003442D8" w:rsidP="003442D8">
      <w:pPr>
        <w:tabs>
          <w:tab w:val="left" w:pos="1380"/>
        </w:tabs>
        <w:spacing w:after="0" w:line="240" w:lineRule="auto"/>
        <w:ind w:right="92"/>
        <w:jc w:val="both"/>
        <w:rPr>
          <w:rFonts w:ascii="Calibri" w:eastAsia="Times New Roman" w:hAnsi="Calibri" w:cs="Times New Roman"/>
          <w:b/>
          <w:bCs/>
          <w:iCs/>
          <w:sz w:val="24"/>
          <w:szCs w:val="24"/>
        </w:rPr>
      </w:pPr>
      <w:r w:rsidRPr="008F425B">
        <w:rPr>
          <w:rFonts w:ascii="Calibri" w:eastAsia="Times New Roman" w:hAnsi="Calibri" w:cs="Times New Roman"/>
          <w:b/>
          <w:bCs/>
          <w:iCs/>
          <w:sz w:val="24"/>
          <w:szCs w:val="24"/>
        </w:rPr>
        <w:tab/>
      </w:r>
    </w:p>
    <w:p w14:paraId="1DDBE6AF" w14:textId="33F987CC" w:rsidR="003442D8" w:rsidRPr="00AD0D10" w:rsidRDefault="003C4061" w:rsidP="00AD0D10">
      <w:pPr>
        <w:pStyle w:val="ListParagraph"/>
        <w:numPr>
          <w:ilvl w:val="0"/>
          <w:numId w:val="19"/>
        </w:numPr>
        <w:spacing w:after="0" w:line="240" w:lineRule="auto"/>
        <w:ind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lastRenderedPageBreak/>
        <w:t>REZULTAT POSLOVANJA FINANCIJSKE GODINE I POREZ NA DOBIT</w:t>
      </w:r>
    </w:p>
    <w:p w14:paraId="182D80BF"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24B0E991" w14:textId="2F0ADF21" w:rsidR="003442D8" w:rsidRDefault="003442D8" w:rsidP="003442D8">
      <w:pPr>
        <w:tabs>
          <w:tab w:val="left" w:pos="-180"/>
        </w:tabs>
        <w:spacing w:after="0" w:line="240" w:lineRule="auto"/>
        <w:ind w:right="-28"/>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 </w:t>
      </w:r>
      <w:r w:rsidRPr="00FA3619">
        <w:rPr>
          <w:rFonts w:ascii="Calibri" w:eastAsia="Times New Roman" w:hAnsi="Calibri" w:cs="Times New Roman"/>
          <w:b/>
          <w:bCs/>
          <w:iCs/>
          <w:sz w:val="24"/>
          <w:szCs w:val="24"/>
        </w:rPr>
        <w:tab/>
      </w:r>
      <w:r w:rsidRPr="00FA3619">
        <w:rPr>
          <w:rFonts w:ascii="Calibri" w:eastAsia="Times New Roman" w:hAnsi="Calibri" w:cs="Times New Roman"/>
          <w:iCs/>
          <w:sz w:val="24"/>
          <w:szCs w:val="24"/>
        </w:rPr>
        <w:t>Za razdoblje od 0</w:t>
      </w:r>
      <w:r w:rsidR="001F5C5D" w:rsidRPr="00FA3619">
        <w:rPr>
          <w:rFonts w:ascii="Calibri" w:eastAsia="Times New Roman" w:hAnsi="Calibri" w:cs="Times New Roman"/>
          <w:iCs/>
          <w:sz w:val="24"/>
          <w:szCs w:val="24"/>
        </w:rPr>
        <w:t>1. siječnja do 31. prosinca 20</w:t>
      </w:r>
      <w:r w:rsidR="00A0054F" w:rsidRPr="00FA3619">
        <w:rPr>
          <w:rFonts w:ascii="Calibri" w:eastAsia="Times New Roman" w:hAnsi="Calibri" w:cs="Times New Roman"/>
          <w:iCs/>
          <w:sz w:val="24"/>
          <w:szCs w:val="24"/>
        </w:rPr>
        <w:t>20</w:t>
      </w:r>
      <w:r w:rsidRPr="00FA3619">
        <w:rPr>
          <w:rFonts w:ascii="Calibri" w:eastAsia="Times New Roman" w:hAnsi="Calibri" w:cs="Times New Roman"/>
          <w:iCs/>
          <w:sz w:val="24"/>
          <w:szCs w:val="24"/>
        </w:rPr>
        <w:t>. godine Društvo je temeljem razlike prihoda i rashoda ostvarilo rezultat poslovanja financijske godine:</w:t>
      </w:r>
    </w:p>
    <w:p w14:paraId="4F1EB281" w14:textId="77777777" w:rsidR="003C4061" w:rsidRPr="00FA3619" w:rsidRDefault="003C4061" w:rsidP="003442D8">
      <w:pPr>
        <w:tabs>
          <w:tab w:val="left" w:pos="-180"/>
        </w:tabs>
        <w:spacing w:after="0" w:line="240" w:lineRule="auto"/>
        <w:ind w:right="-28"/>
        <w:rPr>
          <w:rFonts w:ascii="Calibri" w:eastAsia="Times New Roman" w:hAnsi="Calibri" w:cs="Times New Roman"/>
          <w:iCs/>
          <w:sz w:val="24"/>
          <w:szCs w:val="24"/>
        </w:rPr>
      </w:pPr>
    </w:p>
    <w:bookmarkStart w:id="21" w:name="_MON_1647251299"/>
    <w:bookmarkEnd w:id="21"/>
    <w:p w14:paraId="31FD32C6" w14:textId="2CD75DA9" w:rsidR="003442D8" w:rsidRPr="008F425B" w:rsidRDefault="003C4061" w:rsidP="003442D8">
      <w:pPr>
        <w:tabs>
          <w:tab w:val="left" w:pos="-180"/>
        </w:tabs>
        <w:spacing w:after="0" w:line="240" w:lineRule="auto"/>
        <w:ind w:right="70"/>
        <w:rPr>
          <w:rFonts w:ascii="Calibri" w:eastAsia="Times New Roman" w:hAnsi="Calibri" w:cs="Times New Roman"/>
          <w:iCs/>
          <w:sz w:val="24"/>
          <w:szCs w:val="24"/>
        </w:rPr>
      </w:pPr>
      <w:r w:rsidRPr="00FA3619">
        <w:rPr>
          <w:iCs/>
        </w:rPr>
        <w:object w:dxaOrig="8969" w:dyaOrig="2379" w14:anchorId="1CEE44B4">
          <v:shape id="_x0000_i1032" type="#_x0000_t75" style="width:447.75pt;height:118.5pt" o:ole="">
            <v:imagedata r:id="rId23" o:title=""/>
          </v:shape>
          <o:OLEObject Type="Embed" ProgID="Excel.Sheet.12" ShapeID="_x0000_i1032" DrawAspect="Content" ObjectID="_1684915225" r:id="rId24"/>
        </w:object>
      </w:r>
    </w:p>
    <w:p w14:paraId="23722C4D" w14:textId="3D26B2DE" w:rsidR="003442D8" w:rsidRDefault="003442D8" w:rsidP="003442D8">
      <w:pPr>
        <w:tabs>
          <w:tab w:val="left" w:pos="-180"/>
        </w:tabs>
        <w:spacing w:after="0" w:line="240" w:lineRule="auto"/>
        <w:ind w:right="70"/>
        <w:rPr>
          <w:rFonts w:ascii="Calibri" w:eastAsia="Times New Roman" w:hAnsi="Calibri" w:cs="Times New Roman"/>
          <w:sz w:val="24"/>
          <w:szCs w:val="24"/>
        </w:rPr>
      </w:pPr>
    </w:p>
    <w:p w14:paraId="10A8D262" w14:textId="77777777" w:rsidR="008D20D3" w:rsidRPr="008F425B" w:rsidRDefault="008D20D3" w:rsidP="003442D8">
      <w:pPr>
        <w:tabs>
          <w:tab w:val="left" w:pos="-180"/>
        </w:tabs>
        <w:spacing w:after="0" w:line="240" w:lineRule="auto"/>
        <w:ind w:right="70"/>
        <w:rPr>
          <w:rFonts w:ascii="Calibri" w:eastAsia="Times New Roman" w:hAnsi="Calibri" w:cs="Times New Roman"/>
          <w:sz w:val="24"/>
          <w:szCs w:val="24"/>
        </w:rPr>
      </w:pPr>
    </w:p>
    <w:p w14:paraId="632823D7" w14:textId="09598F86" w:rsidR="003442D8" w:rsidRPr="008F425B" w:rsidRDefault="003442D8" w:rsidP="00E74ED9">
      <w:pPr>
        <w:tabs>
          <w:tab w:val="left" w:pos="-180"/>
        </w:tabs>
        <w:spacing w:after="0" w:line="240" w:lineRule="auto"/>
        <w:ind w:right="-28"/>
        <w:jc w:val="both"/>
        <w:rPr>
          <w:rFonts w:ascii="Calibri" w:eastAsia="Times New Roman" w:hAnsi="Calibri" w:cs="Times New Roman"/>
          <w:b/>
          <w:bCs/>
          <w:iCs/>
          <w:color w:val="000000"/>
          <w:sz w:val="24"/>
          <w:szCs w:val="24"/>
        </w:rPr>
      </w:pPr>
      <w:r w:rsidRPr="00870CFB">
        <w:rPr>
          <w:rFonts w:ascii="Calibri" w:eastAsia="Times New Roman" w:hAnsi="Calibri" w:cs="Times New Roman"/>
          <w:iCs/>
          <w:color w:val="000000"/>
          <w:sz w:val="24"/>
          <w:szCs w:val="24"/>
        </w:rPr>
        <w:t xml:space="preserve">Sukladno Zakonu o porezu na dobit i Pravilniku o porezu na dobit, Društvo je razliku prihoda i rashoda uvećalo za porezno nepriznate rashode u iznosu od </w:t>
      </w:r>
      <w:r w:rsidR="00E74ED9" w:rsidRPr="00870CFB">
        <w:rPr>
          <w:rFonts w:ascii="Calibri" w:eastAsia="Times New Roman" w:hAnsi="Calibri" w:cs="Times New Roman"/>
          <w:iCs/>
          <w:color w:val="000000"/>
          <w:sz w:val="24"/>
          <w:szCs w:val="24"/>
        </w:rPr>
        <w:t>36.867,22</w:t>
      </w:r>
      <w:r w:rsidRPr="00870CFB">
        <w:rPr>
          <w:rFonts w:ascii="Calibri" w:eastAsia="Times New Roman" w:hAnsi="Calibri" w:cs="Times New Roman"/>
          <w:iCs/>
          <w:color w:val="000000"/>
          <w:sz w:val="24"/>
          <w:szCs w:val="24"/>
        </w:rPr>
        <w:t xml:space="preserve"> kn, umanjilo za porezno priznate rashode u iznosu od </w:t>
      </w:r>
      <w:r w:rsidR="00E74ED9" w:rsidRPr="00870CFB">
        <w:rPr>
          <w:rFonts w:ascii="Calibri" w:eastAsia="Times New Roman" w:hAnsi="Calibri" w:cs="Times New Roman"/>
          <w:iCs/>
          <w:color w:val="000000"/>
          <w:sz w:val="24"/>
          <w:szCs w:val="24"/>
        </w:rPr>
        <w:t>25.507,10</w:t>
      </w:r>
      <w:r w:rsidRPr="00870CFB">
        <w:rPr>
          <w:rFonts w:ascii="Calibri" w:eastAsia="Times New Roman" w:hAnsi="Calibri" w:cs="Times New Roman"/>
          <w:iCs/>
          <w:color w:val="000000"/>
          <w:sz w:val="24"/>
          <w:szCs w:val="24"/>
        </w:rPr>
        <w:t xml:space="preserve"> kn </w:t>
      </w:r>
      <w:r w:rsidR="00E74ED9" w:rsidRPr="00870CFB">
        <w:rPr>
          <w:rFonts w:ascii="Calibri" w:eastAsia="Times New Roman" w:hAnsi="Calibri" w:cs="Times New Roman"/>
          <w:iCs/>
          <w:color w:val="000000"/>
          <w:sz w:val="24"/>
          <w:szCs w:val="24"/>
        </w:rPr>
        <w:t>.</w:t>
      </w:r>
      <w:r w:rsidRPr="00870CFB">
        <w:rPr>
          <w:rFonts w:ascii="Calibri" w:eastAsia="Times New Roman" w:hAnsi="Calibri" w:cs="Times New Roman"/>
          <w:iCs/>
          <w:color w:val="000000"/>
          <w:sz w:val="24"/>
          <w:szCs w:val="24"/>
        </w:rPr>
        <w:t xml:space="preserve"> </w:t>
      </w:r>
      <w:r w:rsidR="004F78F7" w:rsidRPr="00870CFB">
        <w:rPr>
          <w:rFonts w:ascii="Calibri" w:eastAsia="Times New Roman" w:hAnsi="Calibri" w:cs="Times New Roman"/>
          <w:iCs/>
          <w:color w:val="000000"/>
          <w:sz w:val="24"/>
          <w:szCs w:val="24"/>
        </w:rPr>
        <w:t>Gubitak tekuće godine je 1.249.</w:t>
      </w:r>
      <w:r w:rsidR="002E4EF3" w:rsidRPr="00870CFB">
        <w:rPr>
          <w:rFonts w:ascii="Calibri" w:eastAsia="Times New Roman" w:hAnsi="Calibri" w:cs="Times New Roman"/>
          <w:iCs/>
          <w:color w:val="000000"/>
          <w:sz w:val="24"/>
          <w:szCs w:val="24"/>
        </w:rPr>
        <w:t>4</w:t>
      </w:r>
      <w:r w:rsidR="004F78F7" w:rsidRPr="00870CFB">
        <w:rPr>
          <w:rFonts w:ascii="Calibri" w:eastAsia="Times New Roman" w:hAnsi="Calibri" w:cs="Times New Roman"/>
          <w:iCs/>
          <w:color w:val="000000"/>
          <w:sz w:val="24"/>
          <w:szCs w:val="24"/>
        </w:rPr>
        <w:t>60,58 kn.</w:t>
      </w:r>
    </w:p>
    <w:p w14:paraId="342538A2" w14:textId="31A188E9" w:rsidR="00DD3799" w:rsidRPr="00411F4A" w:rsidRDefault="00DD3799" w:rsidP="00DD3799">
      <w:pPr>
        <w:spacing w:after="0" w:line="240" w:lineRule="auto"/>
        <w:jc w:val="both"/>
        <w:rPr>
          <w:rFonts w:ascii="Calibri" w:eastAsia="Times New Roman" w:hAnsi="Calibri" w:cs="Times New Roman"/>
          <w:iCs/>
          <w:color w:val="000000"/>
          <w:sz w:val="24"/>
          <w:szCs w:val="24"/>
        </w:rPr>
      </w:pPr>
      <w:r w:rsidRPr="00292998">
        <w:rPr>
          <w:rFonts w:ascii="Calibri" w:eastAsia="Times New Roman" w:hAnsi="Calibri" w:cs="Times New Roman"/>
          <w:iCs/>
          <w:color w:val="000000"/>
          <w:sz w:val="24"/>
          <w:szCs w:val="24"/>
        </w:rPr>
        <w:t xml:space="preserve">Prema Prijavi poreza na dobit za 2020. godinu, Društvo iskazuje preneseni porezni gubitak u iznosu 1.237.800,46 kn. Iskazani porezni gubitak sukladno članku 17. stavku 2. Zakonu o porezu na dobit može se iskoristiti za umanjenje porezne osnovice u narednih 5 godina te s tog osnova može predstavljati odgođenu poreznu imovinu u iznosu 222.804,08 kn </w:t>
      </w:r>
      <w:r w:rsidRPr="00411F4A">
        <w:rPr>
          <w:rFonts w:ascii="Calibri" w:eastAsia="Times New Roman" w:hAnsi="Calibri" w:cs="Times New Roman"/>
          <w:iCs/>
          <w:color w:val="000000"/>
          <w:sz w:val="24"/>
          <w:szCs w:val="24"/>
        </w:rPr>
        <w:t xml:space="preserve">(1.237.800,46 kn x 18 %). </w:t>
      </w:r>
    </w:p>
    <w:p w14:paraId="12FA6237" w14:textId="0FE9D0DE" w:rsidR="00DD3799" w:rsidRPr="00411F4A" w:rsidRDefault="00DD3799" w:rsidP="00DD3799">
      <w:pPr>
        <w:spacing w:after="0" w:line="240" w:lineRule="auto"/>
        <w:jc w:val="both"/>
        <w:rPr>
          <w:rFonts w:ascii="Calibri" w:eastAsia="Times New Roman" w:hAnsi="Calibri" w:cs="Times New Roman"/>
          <w:iCs/>
          <w:color w:val="000000"/>
          <w:sz w:val="24"/>
          <w:szCs w:val="24"/>
        </w:rPr>
      </w:pPr>
      <w:r w:rsidRPr="00411F4A">
        <w:rPr>
          <w:rFonts w:ascii="Calibri" w:eastAsia="Times New Roman" w:hAnsi="Calibri" w:cs="Times New Roman"/>
          <w:iCs/>
          <w:color w:val="000000"/>
          <w:sz w:val="24"/>
          <w:szCs w:val="24"/>
        </w:rPr>
        <w:t>Uprava  procjenjuje  da  ne  postoji  dovoljna  vjerojatnost  da  će buduća oporeziva dobit biti raspoloživa te primjenjujući načelo opreznosti smatra da je primjerenije istu iskazati izvanbilančno.</w:t>
      </w:r>
    </w:p>
    <w:p w14:paraId="6CB2C088" w14:textId="0C4F5FB2" w:rsidR="00DD3799" w:rsidRDefault="00DD3799" w:rsidP="003442D8">
      <w:pPr>
        <w:spacing w:after="0" w:line="240" w:lineRule="auto"/>
        <w:jc w:val="both"/>
        <w:rPr>
          <w:rFonts w:ascii="Calibri" w:eastAsia="Times New Roman" w:hAnsi="Calibri" w:cs="Times New Roman"/>
          <w:iCs/>
          <w:color w:val="000000"/>
          <w:sz w:val="24"/>
          <w:szCs w:val="24"/>
        </w:rPr>
      </w:pPr>
    </w:p>
    <w:p w14:paraId="5C16F306" w14:textId="77761254" w:rsidR="00DD3799" w:rsidRDefault="00DD3799" w:rsidP="003442D8">
      <w:pPr>
        <w:spacing w:after="0" w:line="240" w:lineRule="auto"/>
        <w:jc w:val="both"/>
        <w:rPr>
          <w:rFonts w:ascii="Calibri" w:eastAsia="Times New Roman" w:hAnsi="Calibri" w:cs="Times New Roman"/>
          <w:iCs/>
          <w:color w:val="000000"/>
          <w:sz w:val="24"/>
          <w:szCs w:val="24"/>
        </w:rPr>
      </w:pPr>
    </w:p>
    <w:p w14:paraId="07AA28F7" w14:textId="25F2365E" w:rsidR="00DD3799" w:rsidRDefault="00DD3799" w:rsidP="003442D8">
      <w:pPr>
        <w:spacing w:after="0" w:line="240" w:lineRule="auto"/>
        <w:jc w:val="both"/>
        <w:rPr>
          <w:rFonts w:ascii="Calibri" w:eastAsia="Times New Roman" w:hAnsi="Calibri" w:cs="Times New Roman"/>
          <w:iCs/>
          <w:color w:val="000000"/>
          <w:sz w:val="24"/>
          <w:szCs w:val="24"/>
        </w:rPr>
      </w:pPr>
    </w:p>
    <w:p w14:paraId="581C752F" w14:textId="56C87F63" w:rsidR="00DD3799" w:rsidRDefault="00DD3799" w:rsidP="003442D8">
      <w:pPr>
        <w:spacing w:after="0" w:line="240" w:lineRule="auto"/>
        <w:jc w:val="both"/>
        <w:rPr>
          <w:rFonts w:ascii="Calibri" w:eastAsia="Times New Roman" w:hAnsi="Calibri" w:cs="Times New Roman"/>
          <w:iCs/>
          <w:color w:val="000000"/>
          <w:sz w:val="24"/>
          <w:szCs w:val="24"/>
        </w:rPr>
      </w:pPr>
    </w:p>
    <w:p w14:paraId="64CBE7B5" w14:textId="7D84F66C" w:rsidR="00DD3799" w:rsidRDefault="00DD3799" w:rsidP="003442D8">
      <w:pPr>
        <w:spacing w:after="0" w:line="240" w:lineRule="auto"/>
        <w:jc w:val="both"/>
        <w:rPr>
          <w:rFonts w:ascii="Calibri" w:eastAsia="Times New Roman" w:hAnsi="Calibri" w:cs="Times New Roman"/>
          <w:iCs/>
          <w:color w:val="000000"/>
          <w:sz w:val="24"/>
          <w:szCs w:val="24"/>
        </w:rPr>
      </w:pPr>
    </w:p>
    <w:p w14:paraId="70EE8E1C" w14:textId="0ACEB233" w:rsidR="00DD3799" w:rsidRDefault="00DD3799" w:rsidP="003442D8">
      <w:pPr>
        <w:spacing w:after="0" w:line="240" w:lineRule="auto"/>
        <w:jc w:val="both"/>
        <w:rPr>
          <w:rFonts w:ascii="Calibri" w:eastAsia="Times New Roman" w:hAnsi="Calibri" w:cs="Times New Roman"/>
          <w:iCs/>
          <w:color w:val="000000"/>
          <w:sz w:val="24"/>
          <w:szCs w:val="24"/>
        </w:rPr>
      </w:pPr>
    </w:p>
    <w:p w14:paraId="369702E7" w14:textId="5A57307B" w:rsidR="00DD3799" w:rsidRDefault="00DD3799" w:rsidP="003442D8">
      <w:pPr>
        <w:spacing w:after="0" w:line="240" w:lineRule="auto"/>
        <w:jc w:val="both"/>
        <w:rPr>
          <w:rFonts w:ascii="Calibri" w:eastAsia="Times New Roman" w:hAnsi="Calibri" w:cs="Times New Roman"/>
          <w:iCs/>
          <w:color w:val="000000"/>
          <w:sz w:val="24"/>
          <w:szCs w:val="24"/>
        </w:rPr>
      </w:pPr>
    </w:p>
    <w:p w14:paraId="5DEBD358" w14:textId="3B17D00E" w:rsidR="00DD3799" w:rsidRDefault="00DD3799" w:rsidP="003442D8">
      <w:pPr>
        <w:spacing w:after="0" w:line="240" w:lineRule="auto"/>
        <w:jc w:val="both"/>
        <w:rPr>
          <w:rFonts w:ascii="Calibri" w:eastAsia="Times New Roman" w:hAnsi="Calibri" w:cs="Times New Roman"/>
          <w:iCs/>
          <w:color w:val="000000"/>
          <w:sz w:val="24"/>
          <w:szCs w:val="24"/>
        </w:rPr>
      </w:pPr>
    </w:p>
    <w:p w14:paraId="1B9570F2" w14:textId="4F1AAECF" w:rsidR="00DD3799" w:rsidRDefault="00DD3799" w:rsidP="003442D8">
      <w:pPr>
        <w:spacing w:after="0" w:line="240" w:lineRule="auto"/>
        <w:jc w:val="both"/>
        <w:rPr>
          <w:rFonts w:ascii="Calibri" w:eastAsia="Times New Roman" w:hAnsi="Calibri" w:cs="Times New Roman"/>
          <w:iCs/>
          <w:color w:val="000000"/>
          <w:sz w:val="24"/>
          <w:szCs w:val="24"/>
        </w:rPr>
      </w:pPr>
    </w:p>
    <w:p w14:paraId="4DB10C32" w14:textId="1C2DC191" w:rsidR="00DD3799" w:rsidRDefault="00DD3799" w:rsidP="003442D8">
      <w:pPr>
        <w:spacing w:after="0" w:line="240" w:lineRule="auto"/>
        <w:jc w:val="both"/>
        <w:rPr>
          <w:rFonts w:ascii="Calibri" w:eastAsia="Times New Roman" w:hAnsi="Calibri" w:cs="Times New Roman"/>
          <w:iCs/>
          <w:color w:val="000000"/>
          <w:sz w:val="24"/>
          <w:szCs w:val="24"/>
        </w:rPr>
      </w:pPr>
    </w:p>
    <w:p w14:paraId="2267A4A1" w14:textId="7D237CDE" w:rsidR="00DD3799" w:rsidRDefault="00DD3799" w:rsidP="003442D8">
      <w:pPr>
        <w:spacing w:after="0" w:line="240" w:lineRule="auto"/>
        <w:jc w:val="both"/>
        <w:rPr>
          <w:rFonts w:ascii="Calibri" w:eastAsia="Times New Roman" w:hAnsi="Calibri" w:cs="Times New Roman"/>
          <w:iCs/>
          <w:color w:val="000000"/>
          <w:sz w:val="24"/>
          <w:szCs w:val="24"/>
        </w:rPr>
      </w:pPr>
    </w:p>
    <w:p w14:paraId="557A3C52" w14:textId="4D68F060" w:rsidR="00DD3799" w:rsidRDefault="00DD3799" w:rsidP="003442D8">
      <w:pPr>
        <w:spacing w:after="0" w:line="240" w:lineRule="auto"/>
        <w:jc w:val="both"/>
        <w:rPr>
          <w:rFonts w:ascii="Calibri" w:eastAsia="Times New Roman" w:hAnsi="Calibri" w:cs="Times New Roman"/>
          <w:iCs/>
          <w:color w:val="000000"/>
          <w:sz w:val="24"/>
          <w:szCs w:val="24"/>
        </w:rPr>
      </w:pPr>
    </w:p>
    <w:p w14:paraId="4DDA83DE" w14:textId="5301B231" w:rsidR="00DD3799" w:rsidRDefault="00DD3799" w:rsidP="003442D8">
      <w:pPr>
        <w:spacing w:after="0" w:line="240" w:lineRule="auto"/>
        <w:jc w:val="both"/>
        <w:rPr>
          <w:rFonts w:ascii="Calibri" w:eastAsia="Times New Roman" w:hAnsi="Calibri" w:cs="Times New Roman"/>
          <w:iCs/>
          <w:color w:val="000000"/>
          <w:sz w:val="24"/>
          <w:szCs w:val="24"/>
        </w:rPr>
      </w:pPr>
    </w:p>
    <w:p w14:paraId="031DD3C7" w14:textId="2A5221D5" w:rsidR="00DD3799" w:rsidRDefault="00DD3799" w:rsidP="003442D8">
      <w:pPr>
        <w:spacing w:after="0" w:line="240" w:lineRule="auto"/>
        <w:jc w:val="both"/>
        <w:rPr>
          <w:rFonts w:ascii="Calibri" w:eastAsia="Times New Roman" w:hAnsi="Calibri" w:cs="Times New Roman"/>
          <w:iCs/>
          <w:color w:val="000000"/>
          <w:sz w:val="24"/>
          <w:szCs w:val="24"/>
        </w:rPr>
      </w:pPr>
    </w:p>
    <w:p w14:paraId="2BE8A620" w14:textId="1739D785" w:rsidR="00DD3799" w:rsidRDefault="00DD3799" w:rsidP="003442D8">
      <w:pPr>
        <w:spacing w:after="0" w:line="240" w:lineRule="auto"/>
        <w:jc w:val="both"/>
        <w:rPr>
          <w:rFonts w:ascii="Calibri" w:eastAsia="Times New Roman" w:hAnsi="Calibri" w:cs="Times New Roman"/>
          <w:iCs/>
          <w:color w:val="000000"/>
          <w:sz w:val="24"/>
          <w:szCs w:val="24"/>
        </w:rPr>
      </w:pPr>
    </w:p>
    <w:p w14:paraId="210DBE25" w14:textId="27444718" w:rsidR="00DD3799" w:rsidRDefault="00DD3799" w:rsidP="003442D8">
      <w:pPr>
        <w:spacing w:after="0" w:line="240" w:lineRule="auto"/>
        <w:jc w:val="both"/>
        <w:rPr>
          <w:rFonts w:ascii="Calibri" w:eastAsia="Times New Roman" w:hAnsi="Calibri" w:cs="Times New Roman"/>
          <w:iCs/>
          <w:color w:val="000000"/>
          <w:sz w:val="24"/>
          <w:szCs w:val="24"/>
        </w:rPr>
      </w:pPr>
    </w:p>
    <w:p w14:paraId="0168194C" w14:textId="119F2738" w:rsidR="00DD3799" w:rsidRDefault="00DD3799" w:rsidP="003442D8">
      <w:pPr>
        <w:spacing w:after="0" w:line="240" w:lineRule="auto"/>
        <w:jc w:val="both"/>
        <w:rPr>
          <w:rFonts w:ascii="Calibri" w:eastAsia="Times New Roman" w:hAnsi="Calibri" w:cs="Times New Roman"/>
          <w:iCs/>
          <w:color w:val="000000"/>
          <w:sz w:val="24"/>
          <w:szCs w:val="24"/>
        </w:rPr>
      </w:pPr>
    </w:p>
    <w:p w14:paraId="21B04213" w14:textId="01E390C3" w:rsidR="00DD3799" w:rsidRDefault="00DD3799" w:rsidP="003442D8">
      <w:pPr>
        <w:spacing w:after="0" w:line="240" w:lineRule="auto"/>
        <w:jc w:val="both"/>
        <w:rPr>
          <w:rFonts w:ascii="Calibri" w:eastAsia="Times New Roman" w:hAnsi="Calibri" w:cs="Times New Roman"/>
          <w:iCs/>
          <w:color w:val="000000"/>
          <w:sz w:val="24"/>
          <w:szCs w:val="24"/>
        </w:rPr>
      </w:pPr>
    </w:p>
    <w:p w14:paraId="12352700" w14:textId="1C25F5E5" w:rsidR="00DD3799" w:rsidRDefault="00DD3799" w:rsidP="003442D8">
      <w:pPr>
        <w:spacing w:after="0" w:line="240" w:lineRule="auto"/>
        <w:jc w:val="both"/>
        <w:rPr>
          <w:rFonts w:ascii="Calibri" w:eastAsia="Times New Roman" w:hAnsi="Calibri" w:cs="Times New Roman"/>
          <w:iCs/>
          <w:color w:val="000000"/>
          <w:sz w:val="24"/>
          <w:szCs w:val="24"/>
        </w:rPr>
      </w:pPr>
    </w:p>
    <w:p w14:paraId="77571E94" w14:textId="643D07CA" w:rsidR="00DD3799" w:rsidRDefault="00DD3799" w:rsidP="003442D8">
      <w:pPr>
        <w:spacing w:after="0" w:line="240" w:lineRule="auto"/>
        <w:jc w:val="both"/>
        <w:rPr>
          <w:rFonts w:ascii="Calibri" w:eastAsia="Times New Roman" w:hAnsi="Calibri" w:cs="Times New Roman"/>
          <w:iCs/>
          <w:color w:val="000000"/>
          <w:sz w:val="24"/>
          <w:szCs w:val="24"/>
        </w:rPr>
      </w:pPr>
    </w:p>
    <w:p w14:paraId="1460C7E5" w14:textId="5FE16B2A" w:rsidR="00DD3799" w:rsidRDefault="00DD3799" w:rsidP="003442D8">
      <w:pPr>
        <w:spacing w:after="0" w:line="240" w:lineRule="auto"/>
        <w:jc w:val="both"/>
        <w:rPr>
          <w:rFonts w:ascii="Calibri" w:eastAsia="Times New Roman" w:hAnsi="Calibri" w:cs="Times New Roman"/>
          <w:iCs/>
          <w:color w:val="000000"/>
          <w:sz w:val="24"/>
          <w:szCs w:val="24"/>
        </w:rPr>
      </w:pPr>
    </w:p>
    <w:p w14:paraId="65D91554" w14:textId="54142702" w:rsidR="00DD3799" w:rsidRDefault="00DD3799" w:rsidP="003442D8">
      <w:pPr>
        <w:spacing w:after="0" w:line="240" w:lineRule="auto"/>
        <w:jc w:val="both"/>
        <w:rPr>
          <w:rFonts w:ascii="Calibri" w:eastAsia="Times New Roman" w:hAnsi="Calibri" w:cs="Times New Roman"/>
          <w:iCs/>
          <w:color w:val="000000"/>
          <w:sz w:val="24"/>
          <w:szCs w:val="24"/>
        </w:rPr>
      </w:pPr>
    </w:p>
    <w:p w14:paraId="15F3DE3A" w14:textId="7FF61DF5" w:rsidR="00D36B52" w:rsidRPr="008F425B" w:rsidRDefault="00D36B52" w:rsidP="003442D8">
      <w:pPr>
        <w:spacing w:after="0" w:line="240" w:lineRule="auto"/>
        <w:jc w:val="both"/>
        <w:rPr>
          <w:rFonts w:ascii="Calibri" w:eastAsia="Times New Roman" w:hAnsi="Calibri" w:cs="Times New Roman"/>
          <w:iCs/>
          <w:color w:val="000000"/>
          <w:sz w:val="24"/>
          <w:szCs w:val="24"/>
        </w:rPr>
        <w:sectPr w:rsidR="00D36B52" w:rsidRPr="008F425B" w:rsidSect="003442D8">
          <w:headerReference w:type="default" r:id="rId25"/>
          <w:pgSz w:w="11906" w:h="16838" w:code="9"/>
          <w:pgMar w:top="1246" w:right="1418" w:bottom="1418" w:left="1418" w:header="284" w:footer="720" w:gutter="0"/>
          <w:cols w:space="720"/>
        </w:sectPr>
      </w:pPr>
    </w:p>
    <w:p w14:paraId="47A118DB" w14:textId="6B9E5C18"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DUGOTRAJNA MATERIJALNA I NEMATERIJALNA IMOVINA</w:t>
      </w:r>
    </w:p>
    <w:p w14:paraId="353FFCCB" w14:textId="77777777" w:rsidR="00B05A0B" w:rsidRDefault="00B05A0B" w:rsidP="00B05A0B">
      <w:pPr>
        <w:spacing w:after="0" w:line="240" w:lineRule="auto"/>
        <w:contextualSpacing/>
        <w:jc w:val="both"/>
        <w:rPr>
          <w:rFonts w:ascii="Calibri" w:eastAsia="Times New Roman" w:hAnsi="Calibri" w:cs="Times New Roman"/>
          <w:b/>
          <w:bCs/>
          <w:iCs/>
          <w:sz w:val="24"/>
          <w:szCs w:val="24"/>
        </w:rPr>
      </w:pPr>
    </w:p>
    <w:p w14:paraId="025B550D" w14:textId="77777777" w:rsidR="00B05A0B" w:rsidRDefault="00B05A0B" w:rsidP="00B05A0B">
      <w:pPr>
        <w:spacing w:after="0" w:line="240" w:lineRule="auto"/>
        <w:jc w:val="both"/>
        <w:rPr>
          <w:rFonts w:ascii="Calibri" w:eastAsia="Times New Roman" w:hAnsi="Calibri" w:cs="Times New Roman"/>
          <w:iCs/>
          <w:color w:val="000000"/>
          <w:sz w:val="24"/>
          <w:szCs w:val="24"/>
        </w:rPr>
      </w:pPr>
      <w:r w:rsidRPr="008F425B">
        <w:rPr>
          <w:rFonts w:ascii="Calibri" w:eastAsia="Times New Roman" w:hAnsi="Calibri" w:cs="Times New Roman"/>
          <w:iCs/>
          <w:color w:val="000000"/>
          <w:sz w:val="24"/>
          <w:szCs w:val="24"/>
        </w:rPr>
        <w:t>Stanje i promjene na dugotrajnoj materijalnoj i nematerijalnoj imovini (bez predujmova) prikazujemo na sljedeći način:</w:t>
      </w:r>
    </w:p>
    <w:p w14:paraId="04DA7837" w14:textId="77777777" w:rsidR="00B05A0B" w:rsidRDefault="00B05A0B" w:rsidP="00B05A0B">
      <w:pPr>
        <w:spacing w:after="0" w:line="240" w:lineRule="auto"/>
        <w:jc w:val="both"/>
        <w:rPr>
          <w:rFonts w:ascii="Calibri" w:eastAsia="Times New Roman" w:hAnsi="Calibri" w:cs="Times New Roman"/>
          <w:iCs/>
          <w:color w:val="000000"/>
          <w:sz w:val="24"/>
          <w:szCs w:val="24"/>
        </w:rPr>
      </w:pPr>
    </w:p>
    <w:p w14:paraId="7CBF5938" w14:textId="53CEA551" w:rsidR="00B05A0B" w:rsidRDefault="00B05A0B" w:rsidP="00B05A0B">
      <w:pPr>
        <w:spacing w:after="0" w:line="240" w:lineRule="auto"/>
        <w:contextualSpacing/>
        <w:jc w:val="both"/>
        <w:rPr>
          <w:rFonts w:ascii="Calibri" w:eastAsia="Times New Roman" w:hAnsi="Calibri" w:cs="Times New Roman"/>
          <w:b/>
          <w:bCs/>
          <w:iCs/>
          <w:sz w:val="24"/>
          <w:szCs w:val="24"/>
        </w:rPr>
      </w:pPr>
    </w:p>
    <w:bookmarkStart w:id="22" w:name="_Hlk72387994"/>
    <w:bookmarkStart w:id="23" w:name="_MON_1683875476"/>
    <w:bookmarkEnd w:id="23"/>
    <w:p w14:paraId="39A8E486" w14:textId="18A144E9" w:rsidR="00B05A0B" w:rsidRPr="008F425B" w:rsidRDefault="003C4061" w:rsidP="00B05A0B">
      <w:pPr>
        <w:spacing w:after="0" w:line="240" w:lineRule="auto"/>
        <w:contextualSpacing/>
        <w:jc w:val="both"/>
        <w:rPr>
          <w:rFonts w:ascii="Calibri" w:eastAsia="Times New Roman" w:hAnsi="Calibri" w:cs="Times New Roman"/>
          <w:b/>
          <w:bCs/>
          <w:iCs/>
          <w:sz w:val="24"/>
          <w:szCs w:val="24"/>
        </w:rPr>
      </w:pPr>
      <w:r w:rsidRPr="004342C8">
        <w:rPr>
          <w:rFonts w:ascii="Calibri" w:eastAsia="Times New Roman" w:hAnsi="Calibri" w:cs="Times New Roman"/>
          <w:iCs/>
          <w:color w:val="92D050"/>
          <w:sz w:val="28"/>
          <w:szCs w:val="28"/>
        </w:rPr>
        <w:object w:dxaOrig="15227" w:dyaOrig="6857" w14:anchorId="55EA4891">
          <v:shape id="_x0000_i1033" type="#_x0000_t75" style="width:747.75pt;height:274.5pt" o:ole="">
            <v:imagedata r:id="rId26" o:title=""/>
          </v:shape>
          <o:OLEObject Type="Embed" ProgID="Excel.Sheet.8" ShapeID="_x0000_i1033" DrawAspect="Content" ObjectID="_1684915226" r:id="rId27"/>
        </w:object>
      </w:r>
      <w:bookmarkEnd w:id="22"/>
    </w:p>
    <w:p w14:paraId="2733F9DC" w14:textId="7920A528" w:rsidR="003442D8" w:rsidRPr="008F425B" w:rsidRDefault="00B05A0B" w:rsidP="00B05A0B">
      <w:pPr>
        <w:spacing w:after="0" w:line="240" w:lineRule="auto"/>
        <w:jc w:val="both"/>
        <w:rPr>
          <w:rFonts w:ascii="Calibri" w:eastAsia="Times New Roman" w:hAnsi="Calibri" w:cs="Times New Roman"/>
          <w:iCs/>
          <w:sz w:val="24"/>
          <w:szCs w:val="24"/>
        </w:rPr>
        <w:sectPr w:rsidR="003442D8" w:rsidRPr="008F425B" w:rsidSect="001D4B62">
          <w:footerReference w:type="default" r:id="rId28"/>
          <w:pgSz w:w="16838" w:h="11906" w:orient="landscape" w:code="9"/>
          <w:pgMar w:top="993" w:right="1418" w:bottom="1418" w:left="1418" w:header="181" w:footer="720" w:gutter="0"/>
          <w:cols w:space="720"/>
          <w:docGrid w:linePitch="326"/>
        </w:sectPr>
      </w:pPr>
      <w:bookmarkStart w:id="24" w:name="_Hlk72388184"/>
      <w:r>
        <w:rPr>
          <w:rFonts w:ascii="Calibri" w:eastAsia="Times New Roman" w:hAnsi="Calibri" w:cs="Times New Roman"/>
          <w:iCs/>
          <w:color w:val="000000"/>
          <w:sz w:val="24"/>
          <w:szCs w:val="24"/>
        </w:rPr>
        <w:t xml:space="preserve">Napomena: Radi osiguranja tražbina po kreditima upisano je </w:t>
      </w:r>
      <w:bookmarkEnd w:id="24"/>
      <w:r>
        <w:rPr>
          <w:rFonts w:ascii="Calibri" w:eastAsia="Times New Roman" w:hAnsi="Calibri" w:cs="Times New Roman"/>
          <w:iCs/>
          <w:color w:val="000000"/>
          <w:sz w:val="24"/>
          <w:szCs w:val="24"/>
        </w:rPr>
        <w:t>p</w:t>
      </w:r>
      <w:r>
        <w:rPr>
          <w:rFonts w:ascii="Calibri" w:eastAsia="Times New Roman" w:hAnsi="Calibri" w:cs="Times New Roman"/>
          <w:iCs/>
          <w:sz w:val="24"/>
          <w:szCs w:val="24"/>
        </w:rPr>
        <w:t>ravo zaloga na dijelu nekretnina i pravu građenja.</w:t>
      </w:r>
    </w:p>
    <w:p w14:paraId="2388692F" w14:textId="0E08A793" w:rsidR="003442D8" w:rsidRPr="000D568F" w:rsidRDefault="003442D8" w:rsidP="003442D8">
      <w:pPr>
        <w:spacing w:after="0" w:line="240" w:lineRule="auto"/>
        <w:ind w:right="92"/>
        <w:jc w:val="both"/>
        <w:rPr>
          <w:rFonts w:ascii="Calibri" w:eastAsia="Times New Roman" w:hAnsi="Calibri" w:cs="Times New Roman"/>
          <w:bCs/>
          <w:iCs/>
          <w:sz w:val="24"/>
          <w:szCs w:val="24"/>
        </w:rPr>
      </w:pPr>
      <w:r w:rsidRPr="000D568F">
        <w:rPr>
          <w:rFonts w:ascii="Calibri" w:eastAsia="Times New Roman" w:hAnsi="Calibri" w:cs="Times New Roman"/>
          <w:b/>
          <w:bCs/>
          <w:iCs/>
          <w:sz w:val="24"/>
          <w:szCs w:val="24"/>
        </w:rPr>
        <w:lastRenderedPageBreak/>
        <w:t>/i/</w:t>
      </w:r>
      <w:r w:rsidR="006166F0" w:rsidRPr="000D568F">
        <w:rPr>
          <w:rFonts w:ascii="Calibri" w:eastAsia="Times New Roman" w:hAnsi="Calibri" w:cs="Times New Roman"/>
          <w:bCs/>
          <w:iCs/>
          <w:sz w:val="24"/>
          <w:szCs w:val="24"/>
        </w:rPr>
        <w:tab/>
        <w:t>Društvo je u 20</w:t>
      </w:r>
      <w:r w:rsidR="00004A2E" w:rsidRPr="000D568F">
        <w:rPr>
          <w:rFonts w:ascii="Calibri" w:eastAsia="Times New Roman" w:hAnsi="Calibri" w:cs="Times New Roman"/>
          <w:bCs/>
          <w:iCs/>
          <w:sz w:val="24"/>
          <w:szCs w:val="24"/>
        </w:rPr>
        <w:t>20</w:t>
      </w:r>
      <w:r w:rsidRPr="000D568F">
        <w:rPr>
          <w:rFonts w:ascii="Calibri" w:eastAsia="Times New Roman" w:hAnsi="Calibri" w:cs="Times New Roman"/>
          <w:bCs/>
          <w:iCs/>
          <w:sz w:val="24"/>
          <w:szCs w:val="24"/>
        </w:rPr>
        <w:t xml:space="preserve">. godini prenijelo u uporabu imovinu u iznosu od </w:t>
      </w:r>
      <w:r w:rsidR="00004A2E" w:rsidRPr="000D568F">
        <w:rPr>
          <w:rFonts w:ascii="Calibri" w:eastAsia="Times New Roman" w:hAnsi="Calibri" w:cs="Times New Roman"/>
          <w:bCs/>
          <w:iCs/>
          <w:sz w:val="24"/>
          <w:szCs w:val="24"/>
        </w:rPr>
        <w:t xml:space="preserve">19.185.986,00 </w:t>
      </w:r>
      <w:r w:rsidRPr="000D568F">
        <w:rPr>
          <w:rFonts w:ascii="Calibri" w:eastAsia="Times New Roman" w:hAnsi="Calibri" w:cs="Times New Roman"/>
          <w:bCs/>
          <w:iCs/>
          <w:sz w:val="24"/>
          <w:szCs w:val="24"/>
        </w:rPr>
        <w:t>kn i to</w:t>
      </w:r>
      <w:r w:rsidR="00C4074E" w:rsidRPr="000D568F">
        <w:rPr>
          <w:rFonts w:ascii="Calibri" w:eastAsia="Times New Roman" w:hAnsi="Calibri" w:cs="Times New Roman"/>
          <w:bCs/>
          <w:iCs/>
          <w:sz w:val="24"/>
          <w:szCs w:val="24"/>
        </w:rPr>
        <w:t>:</w:t>
      </w:r>
      <w:r w:rsidRPr="000D568F">
        <w:rPr>
          <w:rFonts w:ascii="Calibri" w:eastAsia="Times New Roman" w:hAnsi="Calibri" w:cs="Times New Roman"/>
          <w:bCs/>
          <w:iCs/>
          <w:sz w:val="24"/>
          <w:szCs w:val="24"/>
        </w:rPr>
        <w:t xml:space="preserve"> </w:t>
      </w:r>
      <w:r w:rsidR="00004A2E" w:rsidRPr="000D568F">
        <w:rPr>
          <w:rFonts w:ascii="Calibri" w:eastAsia="Times New Roman" w:hAnsi="Calibri" w:cs="Times New Roman"/>
          <w:bCs/>
          <w:iCs/>
          <w:sz w:val="24"/>
          <w:szCs w:val="24"/>
        </w:rPr>
        <w:t>17.529.906,35</w:t>
      </w:r>
      <w:r w:rsidRPr="000D568F">
        <w:rPr>
          <w:rFonts w:ascii="Calibri" w:eastAsia="Times New Roman" w:hAnsi="Calibri" w:cs="Times New Roman"/>
          <w:bCs/>
          <w:iCs/>
          <w:sz w:val="24"/>
          <w:szCs w:val="24"/>
        </w:rPr>
        <w:t xml:space="preserve"> kn na građevinske objekte, </w:t>
      </w:r>
      <w:r w:rsidR="00004A2E" w:rsidRPr="000D568F">
        <w:rPr>
          <w:rFonts w:ascii="Calibri" w:eastAsia="Times New Roman" w:hAnsi="Calibri" w:cs="Times New Roman"/>
          <w:bCs/>
          <w:iCs/>
          <w:sz w:val="24"/>
          <w:szCs w:val="24"/>
        </w:rPr>
        <w:t>773.115,00</w:t>
      </w:r>
      <w:r w:rsidRPr="000D568F">
        <w:rPr>
          <w:rFonts w:ascii="Calibri" w:eastAsia="Times New Roman" w:hAnsi="Calibri" w:cs="Times New Roman"/>
          <w:bCs/>
          <w:iCs/>
          <w:sz w:val="24"/>
          <w:szCs w:val="24"/>
        </w:rPr>
        <w:t xml:space="preserve"> kn na postrojenja i opremu, </w:t>
      </w:r>
      <w:r w:rsidR="006166F0" w:rsidRPr="000D568F">
        <w:rPr>
          <w:rFonts w:ascii="Calibri" w:eastAsia="Times New Roman" w:hAnsi="Calibri" w:cs="Times New Roman"/>
          <w:bCs/>
          <w:iCs/>
          <w:sz w:val="24"/>
          <w:szCs w:val="24"/>
        </w:rPr>
        <w:t>88</w:t>
      </w:r>
      <w:r w:rsidR="00004A2E" w:rsidRPr="000D568F">
        <w:rPr>
          <w:rFonts w:ascii="Calibri" w:eastAsia="Times New Roman" w:hAnsi="Calibri" w:cs="Times New Roman"/>
          <w:bCs/>
          <w:iCs/>
          <w:sz w:val="24"/>
          <w:szCs w:val="24"/>
        </w:rPr>
        <w:t>2</w:t>
      </w:r>
      <w:r w:rsidR="006166F0" w:rsidRPr="000D568F">
        <w:rPr>
          <w:rFonts w:ascii="Calibri" w:eastAsia="Times New Roman" w:hAnsi="Calibri" w:cs="Times New Roman"/>
          <w:bCs/>
          <w:iCs/>
          <w:sz w:val="24"/>
          <w:szCs w:val="24"/>
        </w:rPr>
        <w:t>.</w:t>
      </w:r>
      <w:r w:rsidR="00004A2E" w:rsidRPr="000D568F">
        <w:rPr>
          <w:rFonts w:ascii="Calibri" w:eastAsia="Times New Roman" w:hAnsi="Calibri" w:cs="Times New Roman"/>
          <w:bCs/>
          <w:iCs/>
          <w:sz w:val="24"/>
          <w:szCs w:val="24"/>
        </w:rPr>
        <w:t>964</w:t>
      </w:r>
      <w:r w:rsidR="006166F0" w:rsidRPr="000D568F">
        <w:rPr>
          <w:rFonts w:ascii="Calibri" w:eastAsia="Times New Roman" w:hAnsi="Calibri" w:cs="Times New Roman"/>
          <w:bCs/>
          <w:iCs/>
          <w:sz w:val="24"/>
          <w:szCs w:val="24"/>
        </w:rPr>
        <w:t>,</w:t>
      </w:r>
      <w:r w:rsidR="00004A2E" w:rsidRPr="000D568F">
        <w:rPr>
          <w:rFonts w:ascii="Calibri" w:eastAsia="Times New Roman" w:hAnsi="Calibri" w:cs="Times New Roman"/>
          <w:bCs/>
          <w:iCs/>
          <w:sz w:val="24"/>
          <w:szCs w:val="24"/>
        </w:rPr>
        <w:t>65</w:t>
      </w:r>
      <w:r w:rsidRPr="000D568F">
        <w:rPr>
          <w:rFonts w:ascii="Calibri" w:eastAsia="Times New Roman" w:hAnsi="Calibri" w:cs="Times New Roman"/>
          <w:bCs/>
          <w:iCs/>
          <w:sz w:val="24"/>
          <w:szCs w:val="24"/>
        </w:rPr>
        <w:t xml:space="preserve"> kn na alate, pogonski inventari i transportnu</w:t>
      </w:r>
      <w:r w:rsidR="003C4061">
        <w:rPr>
          <w:rFonts w:ascii="Calibri" w:eastAsia="Times New Roman" w:hAnsi="Calibri" w:cs="Times New Roman"/>
          <w:bCs/>
          <w:iCs/>
          <w:sz w:val="24"/>
          <w:szCs w:val="24"/>
        </w:rPr>
        <w:t xml:space="preserve"> imovinu.</w:t>
      </w:r>
    </w:p>
    <w:p w14:paraId="62B2C8DE" w14:textId="77777777" w:rsidR="00004A2E" w:rsidRPr="000D568F" w:rsidRDefault="00004A2E" w:rsidP="003442D8">
      <w:pPr>
        <w:spacing w:after="0" w:line="240" w:lineRule="auto"/>
        <w:ind w:right="92"/>
        <w:jc w:val="both"/>
        <w:rPr>
          <w:rFonts w:ascii="Calibri" w:eastAsia="Times New Roman" w:hAnsi="Calibri" w:cs="Times New Roman"/>
          <w:bCs/>
          <w:iCs/>
          <w:sz w:val="24"/>
          <w:szCs w:val="24"/>
        </w:rPr>
      </w:pPr>
    </w:p>
    <w:p w14:paraId="43380724" w14:textId="53A0B1D6" w:rsidR="003442D8" w:rsidRPr="000D568F" w:rsidRDefault="003442D8" w:rsidP="003442D8">
      <w:pPr>
        <w:spacing w:after="0" w:line="240" w:lineRule="auto"/>
        <w:ind w:right="92"/>
        <w:jc w:val="both"/>
        <w:rPr>
          <w:rFonts w:ascii="Calibri" w:eastAsia="Times New Roman" w:hAnsi="Calibri" w:cs="Times New Roman"/>
          <w:bCs/>
          <w:iCs/>
          <w:sz w:val="24"/>
          <w:szCs w:val="24"/>
        </w:rPr>
      </w:pPr>
      <w:r w:rsidRPr="000D568F">
        <w:rPr>
          <w:rFonts w:ascii="Calibri" w:eastAsia="Times New Roman" w:hAnsi="Calibri" w:cs="Times New Roman"/>
          <w:bCs/>
          <w:iCs/>
          <w:sz w:val="24"/>
          <w:szCs w:val="24"/>
        </w:rPr>
        <w:t>Najznačajni</w:t>
      </w:r>
      <w:r w:rsidR="006166F0" w:rsidRPr="000D568F">
        <w:rPr>
          <w:rFonts w:ascii="Calibri" w:eastAsia="Times New Roman" w:hAnsi="Calibri" w:cs="Times New Roman"/>
          <w:bCs/>
          <w:iCs/>
          <w:sz w:val="24"/>
          <w:szCs w:val="24"/>
        </w:rPr>
        <w:t>je investicije aktivirane u 20</w:t>
      </w:r>
      <w:r w:rsidR="00FB3DC8" w:rsidRPr="000D568F">
        <w:rPr>
          <w:rFonts w:ascii="Calibri" w:eastAsia="Times New Roman" w:hAnsi="Calibri" w:cs="Times New Roman"/>
          <w:bCs/>
          <w:iCs/>
          <w:sz w:val="24"/>
          <w:szCs w:val="24"/>
        </w:rPr>
        <w:t>20</w:t>
      </w:r>
      <w:r w:rsidRPr="000D568F">
        <w:rPr>
          <w:rFonts w:ascii="Calibri" w:eastAsia="Times New Roman" w:hAnsi="Calibri" w:cs="Times New Roman"/>
          <w:bCs/>
          <w:iCs/>
          <w:sz w:val="24"/>
          <w:szCs w:val="24"/>
        </w:rPr>
        <w:t>. godini:</w:t>
      </w:r>
    </w:p>
    <w:p w14:paraId="363F6ACF" w14:textId="77777777" w:rsidR="00080871" w:rsidRPr="00437306" w:rsidRDefault="00080871" w:rsidP="00080871">
      <w:pPr>
        <w:spacing w:after="0" w:line="240" w:lineRule="auto"/>
        <w:ind w:right="92"/>
        <w:jc w:val="both"/>
        <w:rPr>
          <w:rFonts w:ascii="Calibri" w:eastAsia="Times New Roman" w:hAnsi="Calibri" w:cs="Times New Roman"/>
          <w:bCs/>
          <w:iCs/>
          <w:sz w:val="10"/>
          <w:szCs w:val="10"/>
        </w:rPr>
      </w:pPr>
    </w:p>
    <w:tbl>
      <w:tblPr>
        <w:tblW w:w="9070" w:type="dxa"/>
        <w:tblLook w:val="04A0" w:firstRow="1" w:lastRow="0" w:firstColumn="1" w:lastColumn="0" w:noHBand="0" w:noVBand="1"/>
      </w:tblPr>
      <w:tblGrid>
        <w:gridCol w:w="290"/>
        <w:gridCol w:w="6429"/>
        <w:gridCol w:w="2351"/>
      </w:tblGrid>
      <w:tr w:rsidR="00870CFB" w:rsidRPr="003F4C74" w14:paraId="2B730879" w14:textId="77777777" w:rsidTr="000D568F">
        <w:trPr>
          <w:trHeight w:val="248"/>
        </w:trPr>
        <w:tc>
          <w:tcPr>
            <w:tcW w:w="290" w:type="dxa"/>
            <w:shd w:val="clear" w:color="auto" w:fill="auto"/>
          </w:tcPr>
          <w:p w14:paraId="3B338B78" w14:textId="4AA2FF6B"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39F15B0B" w14:textId="7A564849"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i</w:t>
            </w:r>
            <w:r w:rsidR="00870CFB" w:rsidRPr="003F4C74">
              <w:rPr>
                <w:rFonts w:eastAsia="Times New Roman" w:cstheme="minorHAnsi"/>
                <w:color w:val="000000"/>
                <w:sz w:val="24"/>
                <w:szCs w:val="24"/>
                <w:lang w:eastAsia="hr-HR"/>
              </w:rPr>
              <w:t xml:space="preserve">zgradnja kanalizacije </w:t>
            </w:r>
            <w:r w:rsidR="003F4C74" w:rsidRPr="003F4C74">
              <w:rPr>
                <w:rFonts w:eastAsia="Times New Roman" w:cstheme="minorHAnsi"/>
                <w:color w:val="000000"/>
                <w:sz w:val="24"/>
                <w:szCs w:val="24"/>
                <w:lang w:eastAsia="hr-HR"/>
              </w:rPr>
              <w:t>te</w:t>
            </w:r>
            <w:r w:rsidR="00870CFB" w:rsidRPr="003F4C74">
              <w:rPr>
                <w:rFonts w:eastAsia="Times New Roman" w:cstheme="minorHAnsi"/>
                <w:color w:val="000000"/>
                <w:sz w:val="24"/>
                <w:szCs w:val="24"/>
                <w:lang w:eastAsia="hr-HR"/>
              </w:rPr>
              <w:t xml:space="preserve"> </w:t>
            </w:r>
            <w:r w:rsidRPr="003F4C74">
              <w:rPr>
                <w:rFonts w:eastAsia="Times New Roman" w:cstheme="minorHAnsi"/>
                <w:color w:val="000000"/>
                <w:sz w:val="24"/>
                <w:szCs w:val="24"/>
                <w:lang w:eastAsia="hr-HR"/>
              </w:rPr>
              <w:t xml:space="preserve">izgradnja i rekonstrukcija </w:t>
            </w:r>
            <w:r w:rsidR="00870CFB" w:rsidRPr="003F4C74">
              <w:rPr>
                <w:rFonts w:eastAsia="Times New Roman" w:cstheme="minorHAnsi"/>
                <w:color w:val="000000"/>
                <w:sz w:val="24"/>
                <w:szCs w:val="24"/>
                <w:lang w:eastAsia="hr-HR"/>
              </w:rPr>
              <w:t xml:space="preserve">vodovoda </w:t>
            </w:r>
            <w:r w:rsidRPr="003F4C74">
              <w:rPr>
                <w:rFonts w:eastAsia="Times New Roman" w:cstheme="minorHAnsi"/>
                <w:color w:val="000000"/>
                <w:sz w:val="24"/>
                <w:szCs w:val="24"/>
                <w:lang w:eastAsia="hr-HR"/>
              </w:rPr>
              <w:t xml:space="preserve">u </w:t>
            </w:r>
            <w:r w:rsidR="00870CFB" w:rsidRPr="003F4C74">
              <w:rPr>
                <w:rFonts w:eastAsia="Times New Roman" w:cstheme="minorHAnsi"/>
                <w:color w:val="000000"/>
                <w:sz w:val="24"/>
                <w:szCs w:val="24"/>
                <w:lang w:eastAsia="hr-HR"/>
              </w:rPr>
              <w:t>naselj</w:t>
            </w:r>
            <w:r w:rsidRPr="003F4C74">
              <w:rPr>
                <w:rFonts w:eastAsia="Times New Roman" w:cstheme="minorHAnsi"/>
                <w:color w:val="000000"/>
                <w:sz w:val="24"/>
                <w:szCs w:val="24"/>
                <w:lang w:eastAsia="hr-HR"/>
              </w:rPr>
              <w:t>u</w:t>
            </w:r>
            <w:r w:rsidR="00870CFB" w:rsidRPr="003F4C74">
              <w:rPr>
                <w:rFonts w:eastAsia="Times New Roman" w:cstheme="minorHAnsi"/>
                <w:color w:val="000000"/>
                <w:sz w:val="24"/>
                <w:szCs w:val="24"/>
                <w:lang w:eastAsia="hr-HR"/>
              </w:rPr>
              <w:t xml:space="preserve"> Vrbnik (IV faza)</w:t>
            </w:r>
          </w:p>
        </w:tc>
        <w:tc>
          <w:tcPr>
            <w:tcW w:w="2351" w:type="dxa"/>
            <w:shd w:val="clear" w:color="auto" w:fill="auto"/>
            <w:noWrap/>
            <w:vAlign w:val="center"/>
            <w:hideMark/>
          </w:tcPr>
          <w:p w14:paraId="7B3E98A6" w14:textId="1E95B4AB" w:rsidR="00870CFB" w:rsidRPr="003F4C74" w:rsidRDefault="000D568F">
            <w:pPr>
              <w:spacing w:after="0" w:line="240" w:lineRule="auto"/>
              <w:jc w:val="right"/>
              <w:rPr>
                <w:rFonts w:eastAsia="Times New Roman" w:cstheme="minorHAnsi"/>
                <w:color w:val="000000"/>
                <w:sz w:val="24"/>
                <w:szCs w:val="24"/>
                <w:lang w:eastAsia="hr-HR"/>
              </w:rPr>
            </w:pPr>
            <w:r>
              <w:rPr>
                <w:rFonts w:eastAsia="Times New Roman" w:cstheme="minorHAnsi"/>
                <w:color w:val="000000"/>
                <w:sz w:val="24"/>
                <w:szCs w:val="24"/>
                <w:lang w:eastAsia="hr-HR"/>
              </w:rPr>
              <w:t>3.715.431,65</w:t>
            </w:r>
          </w:p>
        </w:tc>
      </w:tr>
      <w:tr w:rsidR="00870CFB" w:rsidRPr="003F4C74" w14:paraId="613098AB" w14:textId="77777777" w:rsidTr="000D568F">
        <w:trPr>
          <w:trHeight w:val="248"/>
        </w:trPr>
        <w:tc>
          <w:tcPr>
            <w:tcW w:w="290" w:type="dxa"/>
            <w:shd w:val="clear" w:color="auto" w:fill="auto"/>
          </w:tcPr>
          <w:p w14:paraId="47A6F0C1" w14:textId="6A2D8BB4"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tcPr>
          <w:p w14:paraId="0AB6AC84" w14:textId="7168A414"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rekonstrukcija vodovoda Dunat - VS Punat</w:t>
            </w:r>
          </w:p>
        </w:tc>
        <w:tc>
          <w:tcPr>
            <w:tcW w:w="2351" w:type="dxa"/>
            <w:shd w:val="clear" w:color="auto" w:fill="auto"/>
            <w:noWrap/>
            <w:vAlign w:val="center"/>
          </w:tcPr>
          <w:p w14:paraId="1D04EE24" w14:textId="7235540C"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2.724.301,47</w:t>
            </w:r>
          </w:p>
        </w:tc>
      </w:tr>
      <w:tr w:rsidR="00870CFB" w:rsidRPr="003F4C74" w14:paraId="1233A4A4" w14:textId="77777777" w:rsidTr="000D568F">
        <w:trPr>
          <w:trHeight w:val="248"/>
        </w:trPr>
        <w:tc>
          <w:tcPr>
            <w:tcW w:w="290" w:type="dxa"/>
            <w:shd w:val="clear" w:color="auto" w:fill="auto"/>
          </w:tcPr>
          <w:p w14:paraId="3DB62520" w14:textId="70555E71"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7718E0A5" w14:textId="4FD5FA2B"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 xml:space="preserve">izgradnja i rekonstrukcija vodovoda i kanalizacije </w:t>
            </w:r>
            <w:r w:rsidR="0025352F" w:rsidRPr="003F4C74">
              <w:rPr>
                <w:rFonts w:eastAsia="Times New Roman" w:cstheme="minorHAnsi"/>
                <w:color w:val="000000"/>
                <w:sz w:val="24"/>
                <w:szCs w:val="24"/>
                <w:lang w:eastAsia="hr-HR"/>
              </w:rPr>
              <w:t xml:space="preserve">u </w:t>
            </w:r>
            <w:r w:rsidRPr="003F4C74">
              <w:rPr>
                <w:rFonts w:eastAsia="Times New Roman" w:cstheme="minorHAnsi"/>
                <w:color w:val="000000"/>
                <w:sz w:val="24"/>
                <w:szCs w:val="24"/>
                <w:lang w:eastAsia="hr-HR"/>
              </w:rPr>
              <w:t>naselj</w:t>
            </w:r>
            <w:r w:rsidR="0025352F" w:rsidRPr="003F4C74">
              <w:rPr>
                <w:rFonts w:eastAsia="Times New Roman" w:cstheme="minorHAnsi"/>
                <w:color w:val="000000"/>
                <w:sz w:val="24"/>
                <w:szCs w:val="24"/>
                <w:lang w:eastAsia="hr-HR"/>
              </w:rPr>
              <w:t>u</w:t>
            </w:r>
            <w:r w:rsidRPr="003F4C74">
              <w:rPr>
                <w:rFonts w:eastAsia="Times New Roman" w:cstheme="minorHAnsi"/>
                <w:color w:val="000000"/>
                <w:sz w:val="24"/>
                <w:szCs w:val="24"/>
                <w:lang w:eastAsia="hr-HR"/>
              </w:rPr>
              <w:t xml:space="preserve"> Baška</w:t>
            </w:r>
          </w:p>
        </w:tc>
        <w:tc>
          <w:tcPr>
            <w:tcW w:w="2351" w:type="dxa"/>
            <w:shd w:val="clear" w:color="auto" w:fill="auto"/>
            <w:noWrap/>
            <w:vAlign w:val="center"/>
            <w:hideMark/>
          </w:tcPr>
          <w:p w14:paraId="106F2037"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2.139.139,65</w:t>
            </w:r>
          </w:p>
        </w:tc>
      </w:tr>
      <w:tr w:rsidR="00870CFB" w:rsidRPr="003F4C74" w14:paraId="3B947437" w14:textId="77777777" w:rsidTr="000D568F">
        <w:trPr>
          <w:trHeight w:val="248"/>
        </w:trPr>
        <w:tc>
          <w:tcPr>
            <w:tcW w:w="290" w:type="dxa"/>
            <w:shd w:val="clear" w:color="auto" w:fill="auto"/>
          </w:tcPr>
          <w:p w14:paraId="146E4688" w14:textId="1614FE07"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3DEB80AE" w14:textId="06A4C703"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 xml:space="preserve">rekonstrukcija vodovoda i kanalizacije </w:t>
            </w:r>
            <w:r w:rsidR="0025352F" w:rsidRPr="003F4C74">
              <w:rPr>
                <w:rFonts w:eastAsia="Times New Roman" w:cstheme="minorHAnsi"/>
                <w:color w:val="000000"/>
                <w:sz w:val="24"/>
                <w:szCs w:val="24"/>
                <w:lang w:eastAsia="hr-HR"/>
              </w:rPr>
              <w:t xml:space="preserve">u </w:t>
            </w:r>
            <w:r w:rsidRPr="003F4C74">
              <w:rPr>
                <w:rFonts w:eastAsia="Times New Roman" w:cstheme="minorHAnsi"/>
                <w:color w:val="000000"/>
                <w:sz w:val="24"/>
                <w:szCs w:val="24"/>
                <w:lang w:eastAsia="hr-HR"/>
              </w:rPr>
              <w:t>nasel</w:t>
            </w:r>
            <w:r w:rsidR="0025352F" w:rsidRPr="003F4C74">
              <w:rPr>
                <w:rFonts w:eastAsia="Times New Roman" w:cstheme="minorHAnsi"/>
                <w:color w:val="000000"/>
                <w:sz w:val="24"/>
                <w:szCs w:val="24"/>
                <w:lang w:eastAsia="hr-HR"/>
              </w:rPr>
              <w:t>ju</w:t>
            </w:r>
            <w:r w:rsidRPr="003F4C74">
              <w:rPr>
                <w:rFonts w:eastAsia="Times New Roman" w:cstheme="minorHAnsi"/>
                <w:color w:val="000000"/>
                <w:sz w:val="24"/>
                <w:szCs w:val="24"/>
                <w:lang w:eastAsia="hr-HR"/>
              </w:rPr>
              <w:t xml:space="preserve"> Punat</w:t>
            </w:r>
          </w:p>
        </w:tc>
        <w:tc>
          <w:tcPr>
            <w:tcW w:w="2351" w:type="dxa"/>
            <w:shd w:val="clear" w:color="auto" w:fill="auto"/>
            <w:noWrap/>
            <w:vAlign w:val="center"/>
            <w:hideMark/>
          </w:tcPr>
          <w:p w14:paraId="0EB47260"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1.409.025,53</w:t>
            </w:r>
          </w:p>
        </w:tc>
      </w:tr>
      <w:tr w:rsidR="00870CFB" w:rsidRPr="003F4C74" w14:paraId="703D4C82" w14:textId="77777777" w:rsidTr="000D568F">
        <w:trPr>
          <w:trHeight w:val="248"/>
        </w:trPr>
        <w:tc>
          <w:tcPr>
            <w:tcW w:w="290" w:type="dxa"/>
            <w:shd w:val="clear" w:color="auto" w:fill="auto"/>
          </w:tcPr>
          <w:p w14:paraId="0CF52F35" w14:textId="3E621874"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493B2351" w14:textId="2945F2EC" w:rsidR="00870CFB" w:rsidRPr="003F4C74" w:rsidRDefault="00870CFB">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 xml:space="preserve">rekonstrukcija vodovoda i kanalizacije </w:t>
            </w:r>
            <w:r w:rsidR="0025352F" w:rsidRPr="003F4C74">
              <w:rPr>
                <w:rFonts w:eastAsia="Times New Roman" w:cstheme="minorHAnsi"/>
                <w:color w:val="000000"/>
                <w:sz w:val="24"/>
                <w:szCs w:val="24"/>
                <w:lang w:eastAsia="hr-HR"/>
              </w:rPr>
              <w:t>u n</w:t>
            </w:r>
            <w:r w:rsidRPr="003F4C74">
              <w:rPr>
                <w:rFonts w:eastAsia="Times New Roman" w:cstheme="minorHAnsi"/>
                <w:color w:val="000000"/>
                <w:sz w:val="24"/>
                <w:szCs w:val="24"/>
                <w:lang w:eastAsia="hr-HR"/>
              </w:rPr>
              <w:t>aselj</w:t>
            </w:r>
            <w:r w:rsidR="0025352F" w:rsidRPr="003F4C74">
              <w:rPr>
                <w:rFonts w:eastAsia="Times New Roman" w:cstheme="minorHAnsi"/>
                <w:color w:val="000000"/>
                <w:sz w:val="24"/>
                <w:szCs w:val="24"/>
                <w:lang w:eastAsia="hr-HR"/>
              </w:rPr>
              <w:t>u</w:t>
            </w:r>
            <w:r w:rsidRPr="003F4C74">
              <w:rPr>
                <w:rFonts w:eastAsia="Times New Roman" w:cstheme="minorHAnsi"/>
                <w:color w:val="000000"/>
                <w:sz w:val="24"/>
                <w:szCs w:val="24"/>
                <w:lang w:eastAsia="hr-HR"/>
              </w:rPr>
              <w:t xml:space="preserve"> Krk</w:t>
            </w:r>
          </w:p>
        </w:tc>
        <w:tc>
          <w:tcPr>
            <w:tcW w:w="2351" w:type="dxa"/>
            <w:shd w:val="clear" w:color="auto" w:fill="auto"/>
            <w:noWrap/>
            <w:vAlign w:val="center"/>
            <w:hideMark/>
          </w:tcPr>
          <w:p w14:paraId="7CC6C33F"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1.334.548,79</w:t>
            </w:r>
          </w:p>
        </w:tc>
      </w:tr>
      <w:tr w:rsidR="00870CFB" w:rsidRPr="003F4C74" w14:paraId="629B88A0" w14:textId="77777777" w:rsidTr="000D568F">
        <w:trPr>
          <w:trHeight w:val="248"/>
        </w:trPr>
        <w:tc>
          <w:tcPr>
            <w:tcW w:w="290" w:type="dxa"/>
            <w:shd w:val="clear" w:color="auto" w:fill="auto"/>
          </w:tcPr>
          <w:p w14:paraId="6ECC1E28" w14:textId="578358F3"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4483A557" w14:textId="4C393543"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i</w:t>
            </w:r>
            <w:r w:rsidR="00870CFB" w:rsidRPr="003F4C74">
              <w:rPr>
                <w:rFonts w:eastAsia="Times New Roman" w:cstheme="minorHAnsi"/>
                <w:color w:val="000000"/>
                <w:sz w:val="24"/>
                <w:szCs w:val="24"/>
                <w:lang w:eastAsia="hr-HR"/>
              </w:rPr>
              <w:t xml:space="preserve">zvođenje radova </w:t>
            </w:r>
            <w:r w:rsidRPr="003F4C74">
              <w:rPr>
                <w:rFonts w:eastAsia="Times New Roman" w:cstheme="minorHAnsi"/>
                <w:color w:val="000000"/>
                <w:sz w:val="24"/>
                <w:szCs w:val="24"/>
                <w:lang w:eastAsia="hr-HR"/>
              </w:rPr>
              <w:t xml:space="preserve">na </w:t>
            </w:r>
            <w:r w:rsidR="00870CFB" w:rsidRPr="003F4C74">
              <w:rPr>
                <w:rFonts w:eastAsia="Times New Roman" w:cstheme="minorHAnsi"/>
                <w:color w:val="000000"/>
                <w:sz w:val="24"/>
                <w:szCs w:val="24"/>
                <w:lang w:eastAsia="hr-HR"/>
              </w:rPr>
              <w:t>upravn</w:t>
            </w:r>
            <w:r w:rsidRPr="003F4C74">
              <w:rPr>
                <w:rFonts w:eastAsia="Times New Roman" w:cstheme="minorHAnsi"/>
                <w:color w:val="000000"/>
                <w:sz w:val="24"/>
                <w:szCs w:val="24"/>
                <w:lang w:eastAsia="hr-HR"/>
              </w:rPr>
              <w:t>oj</w:t>
            </w:r>
            <w:r w:rsidR="00870CFB" w:rsidRPr="003F4C74">
              <w:rPr>
                <w:rFonts w:eastAsia="Times New Roman" w:cstheme="minorHAnsi"/>
                <w:color w:val="000000"/>
                <w:sz w:val="24"/>
                <w:szCs w:val="24"/>
                <w:lang w:eastAsia="hr-HR"/>
              </w:rPr>
              <w:t xml:space="preserve"> zgrad</w:t>
            </w:r>
            <w:r w:rsidRPr="003F4C74">
              <w:rPr>
                <w:rFonts w:eastAsia="Times New Roman" w:cstheme="minorHAnsi"/>
                <w:color w:val="000000"/>
                <w:sz w:val="24"/>
                <w:szCs w:val="24"/>
                <w:lang w:eastAsia="hr-HR"/>
              </w:rPr>
              <w:t>i</w:t>
            </w:r>
          </w:p>
        </w:tc>
        <w:tc>
          <w:tcPr>
            <w:tcW w:w="2351" w:type="dxa"/>
            <w:shd w:val="clear" w:color="auto" w:fill="auto"/>
            <w:noWrap/>
            <w:vAlign w:val="center"/>
            <w:hideMark/>
          </w:tcPr>
          <w:p w14:paraId="096AD5DF"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793.910,02</w:t>
            </w:r>
          </w:p>
        </w:tc>
      </w:tr>
      <w:tr w:rsidR="00870CFB" w:rsidRPr="003F4C74" w14:paraId="413599C8" w14:textId="77777777" w:rsidTr="000D568F">
        <w:trPr>
          <w:trHeight w:val="248"/>
        </w:trPr>
        <w:tc>
          <w:tcPr>
            <w:tcW w:w="290" w:type="dxa"/>
            <w:shd w:val="clear" w:color="auto" w:fill="auto"/>
          </w:tcPr>
          <w:p w14:paraId="55F04940" w14:textId="283B1B00"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03D5604F" w14:textId="4E1C36DB"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r</w:t>
            </w:r>
            <w:r w:rsidR="00870CFB" w:rsidRPr="003F4C74">
              <w:rPr>
                <w:rFonts w:eastAsia="Times New Roman" w:cstheme="minorHAnsi"/>
                <w:color w:val="000000"/>
                <w:sz w:val="24"/>
                <w:szCs w:val="24"/>
                <w:lang w:eastAsia="hr-HR"/>
              </w:rPr>
              <w:t>ekonstrukcija vodovoda i kanal</w:t>
            </w:r>
            <w:r w:rsidRPr="003F4C74">
              <w:rPr>
                <w:rFonts w:eastAsia="Times New Roman" w:cstheme="minorHAnsi"/>
                <w:color w:val="000000"/>
                <w:sz w:val="24"/>
                <w:szCs w:val="24"/>
                <w:lang w:eastAsia="hr-HR"/>
              </w:rPr>
              <w:t>izacije u naselju</w:t>
            </w:r>
            <w:r w:rsidR="00870CFB" w:rsidRPr="003F4C74">
              <w:rPr>
                <w:rFonts w:eastAsia="Times New Roman" w:cstheme="minorHAnsi"/>
                <w:color w:val="000000"/>
                <w:sz w:val="24"/>
                <w:szCs w:val="24"/>
                <w:lang w:eastAsia="hr-HR"/>
              </w:rPr>
              <w:t xml:space="preserve"> Malinska</w:t>
            </w:r>
          </w:p>
        </w:tc>
        <w:tc>
          <w:tcPr>
            <w:tcW w:w="2351" w:type="dxa"/>
            <w:shd w:val="clear" w:color="auto" w:fill="auto"/>
            <w:noWrap/>
            <w:vAlign w:val="center"/>
            <w:hideMark/>
          </w:tcPr>
          <w:p w14:paraId="2BDC65AE"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664.013,02</w:t>
            </w:r>
          </w:p>
        </w:tc>
      </w:tr>
      <w:tr w:rsidR="00870CFB" w:rsidRPr="003F4C74" w14:paraId="246C9E4C" w14:textId="77777777" w:rsidTr="000D568F">
        <w:trPr>
          <w:trHeight w:val="248"/>
        </w:trPr>
        <w:tc>
          <w:tcPr>
            <w:tcW w:w="290" w:type="dxa"/>
            <w:shd w:val="clear" w:color="auto" w:fill="auto"/>
          </w:tcPr>
          <w:p w14:paraId="1CC54AF4" w14:textId="4E1C98A1"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405951C4" w14:textId="17C9FF35"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r</w:t>
            </w:r>
            <w:r w:rsidR="00870CFB" w:rsidRPr="003F4C74">
              <w:rPr>
                <w:rFonts w:eastAsia="Times New Roman" w:cstheme="minorHAnsi"/>
                <w:color w:val="000000"/>
                <w:sz w:val="24"/>
                <w:szCs w:val="24"/>
                <w:lang w:eastAsia="hr-HR"/>
              </w:rPr>
              <w:t>ekonstrukcija vodovoda i kanal</w:t>
            </w:r>
            <w:r w:rsidRPr="003F4C74">
              <w:rPr>
                <w:rFonts w:eastAsia="Times New Roman" w:cstheme="minorHAnsi"/>
                <w:color w:val="000000"/>
                <w:sz w:val="24"/>
                <w:szCs w:val="24"/>
                <w:lang w:eastAsia="hr-HR"/>
              </w:rPr>
              <w:t>izacije u naselju</w:t>
            </w:r>
            <w:r w:rsidR="00870CFB" w:rsidRPr="003F4C74">
              <w:rPr>
                <w:rFonts w:eastAsia="Times New Roman" w:cstheme="minorHAnsi"/>
                <w:color w:val="000000"/>
                <w:sz w:val="24"/>
                <w:szCs w:val="24"/>
                <w:lang w:eastAsia="hr-HR"/>
              </w:rPr>
              <w:t xml:space="preserve"> Porat</w:t>
            </w:r>
          </w:p>
        </w:tc>
        <w:tc>
          <w:tcPr>
            <w:tcW w:w="2351" w:type="dxa"/>
            <w:shd w:val="clear" w:color="auto" w:fill="auto"/>
            <w:noWrap/>
            <w:vAlign w:val="center"/>
            <w:hideMark/>
          </w:tcPr>
          <w:p w14:paraId="3DA2AA50"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499.852,20</w:t>
            </w:r>
          </w:p>
        </w:tc>
      </w:tr>
      <w:tr w:rsidR="00870CFB" w:rsidRPr="003F4C74" w14:paraId="2B9C3ECA" w14:textId="77777777" w:rsidTr="000D568F">
        <w:trPr>
          <w:trHeight w:val="248"/>
        </w:trPr>
        <w:tc>
          <w:tcPr>
            <w:tcW w:w="290" w:type="dxa"/>
            <w:shd w:val="clear" w:color="auto" w:fill="auto"/>
          </w:tcPr>
          <w:p w14:paraId="42E843EE" w14:textId="137E17B4"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76019E46" w14:textId="6C81C5A4"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izgradnja</w:t>
            </w:r>
            <w:r w:rsidR="00870CFB" w:rsidRPr="003F4C74">
              <w:rPr>
                <w:rFonts w:eastAsia="Times New Roman" w:cstheme="minorHAnsi"/>
                <w:color w:val="000000"/>
                <w:sz w:val="24"/>
                <w:szCs w:val="24"/>
                <w:lang w:eastAsia="hr-HR"/>
              </w:rPr>
              <w:t xml:space="preserve"> vodovoda </w:t>
            </w:r>
            <w:r w:rsidRPr="003F4C74">
              <w:rPr>
                <w:rFonts w:eastAsia="Times New Roman" w:cstheme="minorHAnsi"/>
                <w:color w:val="000000"/>
                <w:sz w:val="24"/>
                <w:szCs w:val="24"/>
                <w:lang w:eastAsia="hr-HR"/>
              </w:rPr>
              <w:t xml:space="preserve">u naselju </w:t>
            </w:r>
            <w:r w:rsidR="00870CFB" w:rsidRPr="003F4C74">
              <w:rPr>
                <w:rFonts w:eastAsia="Times New Roman" w:cstheme="minorHAnsi"/>
                <w:color w:val="000000"/>
                <w:sz w:val="24"/>
                <w:szCs w:val="24"/>
                <w:lang w:eastAsia="hr-HR"/>
              </w:rPr>
              <w:t>Risika</w:t>
            </w:r>
          </w:p>
        </w:tc>
        <w:tc>
          <w:tcPr>
            <w:tcW w:w="2351" w:type="dxa"/>
            <w:shd w:val="clear" w:color="auto" w:fill="auto"/>
            <w:noWrap/>
            <w:vAlign w:val="center"/>
            <w:hideMark/>
          </w:tcPr>
          <w:p w14:paraId="3721ED60"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470.594,10</w:t>
            </w:r>
          </w:p>
        </w:tc>
      </w:tr>
      <w:tr w:rsidR="00870CFB" w:rsidRPr="003F4C74" w14:paraId="1BCF0221" w14:textId="77777777" w:rsidTr="000D568F">
        <w:trPr>
          <w:trHeight w:val="243"/>
        </w:trPr>
        <w:tc>
          <w:tcPr>
            <w:tcW w:w="290" w:type="dxa"/>
            <w:shd w:val="clear" w:color="auto" w:fill="auto"/>
          </w:tcPr>
          <w:p w14:paraId="2D54F3F5" w14:textId="3B504AE1"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242186BA" w14:textId="7205AA13"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r</w:t>
            </w:r>
            <w:r w:rsidR="00870CFB" w:rsidRPr="003F4C74">
              <w:rPr>
                <w:rFonts w:eastAsia="Times New Roman" w:cstheme="minorHAnsi"/>
                <w:color w:val="000000"/>
                <w:sz w:val="24"/>
                <w:szCs w:val="24"/>
                <w:lang w:eastAsia="hr-HR"/>
              </w:rPr>
              <w:t>ekonstrukcija vodovoda od raskrižja za Dinu do UPOV Omišalj</w:t>
            </w:r>
          </w:p>
        </w:tc>
        <w:tc>
          <w:tcPr>
            <w:tcW w:w="2351" w:type="dxa"/>
            <w:shd w:val="clear" w:color="auto" w:fill="auto"/>
            <w:noWrap/>
            <w:vAlign w:val="center"/>
            <w:hideMark/>
          </w:tcPr>
          <w:p w14:paraId="353A6204" w14:textId="688370C4" w:rsidR="00870CFB" w:rsidRPr="003F4C74" w:rsidRDefault="000D568F">
            <w:pPr>
              <w:spacing w:after="0" w:line="240" w:lineRule="auto"/>
              <w:jc w:val="right"/>
              <w:rPr>
                <w:rFonts w:eastAsia="Times New Roman" w:cstheme="minorHAnsi"/>
                <w:color w:val="000000"/>
                <w:sz w:val="24"/>
                <w:szCs w:val="24"/>
                <w:lang w:eastAsia="hr-HR"/>
              </w:rPr>
            </w:pPr>
            <w:r>
              <w:rPr>
                <w:rFonts w:eastAsia="Times New Roman" w:cstheme="minorHAnsi"/>
                <w:color w:val="000000"/>
                <w:sz w:val="24"/>
                <w:szCs w:val="24"/>
                <w:lang w:eastAsia="hr-HR"/>
              </w:rPr>
              <w:t>739.252,21</w:t>
            </w:r>
          </w:p>
        </w:tc>
      </w:tr>
      <w:tr w:rsidR="00870CFB" w:rsidRPr="000D568F" w14:paraId="310167DB" w14:textId="77777777" w:rsidTr="000D568F">
        <w:trPr>
          <w:trHeight w:val="248"/>
        </w:trPr>
        <w:tc>
          <w:tcPr>
            <w:tcW w:w="290" w:type="dxa"/>
            <w:shd w:val="clear" w:color="auto" w:fill="auto"/>
          </w:tcPr>
          <w:p w14:paraId="72101D81" w14:textId="5E5A969C"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shd w:val="clear" w:color="auto" w:fill="auto"/>
            <w:vAlign w:val="center"/>
            <w:hideMark/>
          </w:tcPr>
          <w:p w14:paraId="6F917B2F" w14:textId="71F8AEFD"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r</w:t>
            </w:r>
            <w:r w:rsidR="00870CFB" w:rsidRPr="000D568F">
              <w:rPr>
                <w:rFonts w:eastAsia="Times New Roman" w:cstheme="minorHAnsi"/>
                <w:color w:val="000000"/>
                <w:sz w:val="24"/>
                <w:szCs w:val="24"/>
                <w:lang w:eastAsia="hr-HR"/>
              </w:rPr>
              <w:t>ekonstrukcija vodovoda PK Muraj-VS Dunat</w:t>
            </w:r>
          </w:p>
        </w:tc>
        <w:tc>
          <w:tcPr>
            <w:tcW w:w="2351" w:type="dxa"/>
            <w:shd w:val="clear" w:color="auto" w:fill="auto"/>
            <w:noWrap/>
            <w:vAlign w:val="center"/>
            <w:hideMark/>
          </w:tcPr>
          <w:p w14:paraId="3B2FBA0D"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367.166,92</w:t>
            </w:r>
          </w:p>
        </w:tc>
      </w:tr>
      <w:tr w:rsidR="00870CFB" w:rsidRPr="000D568F" w14:paraId="10A7579D" w14:textId="77777777" w:rsidTr="000D568F">
        <w:trPr>
          <w:trHeight w:val="248"/>
        </w:trPr>
        <w:tc>
          <w:tcPr>
            <w:tcW w:w="290" w:type="dxa"/>
          </w:tcPr>
          <w:p w14:paraId="32B99505" w14:textId="37225281"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vAlign w:val="center"/>
            <w:hideMark/>
          </w:tcPr>
          <w:p w14:paraId="7F66C403" w14:textId="42B16823" w:rsidR="00870CFB" w:rsidRPr="000D568F" w:rsidRDefault="003F4C74">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 xml:space="preserve">rekonstrukcija vodovoda i kanalizacije u naselju </w:t>
            </w:r>
            <w:r w:rsidR="00870CFB" w:rsidRPr="000D568F">
              <w:rPr>
                <w:rFonts w:eastAsia="Times New Roman" w:cstheme="minorHAnsi"/>
                <w:color w:val="000000"/>
                <w:sz w:val="24"/>
                <w:szCs w:val="24"/>
                <w:lang w:eastAsia="hr-HR"/>
              </w:rPr>
              <w:t>Omišalj</w:t>
            </w:r>
          </w:p>
        </w:tc>
        <w:tc>
          <w:tcPr>
            <w:tcW w:w="2351" w:type="dxa"/>
            <w:noWrap/>
            <w:vAlign w:val="center"/>
            <w:hideMark/>
          </w:tcPr>
          <w:p w14:paraId="247AA8B8"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266.002,84</w:t>
            </w:r>
          </w:p>
        </w:tc>
      </w:tr>
      <w:tr w:rsidR="00870CFB" w:rsidRPr="000D568F" w14:paraId="5D2EAC6B" w14:textId="77777777" w:rsidTr="000D568F">
        <w:trPr>
          <w:trHeight w:val="248"/>
        </w:trPr>
        <w:tc>
          <w:tcPr>
            <w:tcW w:w="290" w:type="dxa"/>
          </w:tcPr>
          <w:p w14:paraId="7663C69D" w14:textId="3AC3F8DA"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vAlign w:val="center"/>
            <w:hideMark/>
          </w:tcPr>
          <w:p w14:paraId="7ED8E16C" w14:textId="35FEF29A" w:rsidR="00870CFB" w:rsidRPr="000D568F" w:rsidRDefault="00292998">
            <w:pPr>
              <w:spacing w:after="0" w:line="240" w:lineRule="auto"/>
              <w:rPr>
                <w:rFonts w:eastAsia="Times New Roman" w:cstheme="minorHAnsi"/>
                <w:color w:val="000000"/>
                <w:sz w:val="24"/>
                <w:szCs w:val="24"/>
                <w:lang w:eastAsia="hr-HR"/>
              </w:rPr>
            </w:pPr>
            <w:r>
              <w:rPr>
                <w:rFonts w:eastAsia="Times New Roman" w:cstheme="minorHAnsi"/>
                <w:color w:val="000000"/>
                <w:sz w:val="24"/>
                <w:szCs w:val="24"/>
                <w:lang w:eastAsia="hr-HR"/>
              </w:rPr>
              <w:t>r</w:t>
            </w:r>
            <w:r w:rsidR="003F4C74" w:rsidRPr="000D568F">
              <w:rPr>
                <w:rFonts w:eastAsia="Times New Roman" w:cstheme="minorHAnsi"/>
                <w:color w:val="000000"/>
                <w:sz w:val="24"/>
                <w:szCs w:val="24"/>
                <w:lang w:eastAsia="hr-HR"/>
              </w:rPr>
              <w:t xml:space="preserve">ekonstrukcija </w:t>
            </w:r>
            <w:r w:rsidR="00870CFB" w:rsidRPr="000D568F">
              <w:rPr>
                <w:rFonts w:eastAsia="Times New Roman" w:cstheme="minorHAnsi"/>
                <w:color w:val="000000"/>
                <w:sz w:val="24"/>
                <w:szCs w:val="24"/>
                <w:lang w:eastAsia="hr-HR"/>
              </w:rPr>
              <w:t xml:space="preserve">vodovoda </w:t>
            </w:r>
            <w:r w:rsidR="003F4C74" w:rsidRPr="000D568F">
              <w:rPr>
                <w:rFonts w:eastAsia="Times New Roman" w:cstheme="minorHAnsi"/>
                <w:color w:val="000000"/>
                <w:sz w:val="24"/>
                <w:szCs w:val="24"/>
                <w:lang w:eastAsia="hr-HR"/>
              </w:rPr>
              <w:t xml:space="preserve">u naselju </w:t>
            </w:r>
            <w:r w:rsidR="00870CFB" w:rsidRPr="000D568F">
              <w:rPr>
                <w:rFonts w:eastAsia="Times New Roman" w:cstheme="minorHAnsi"/>
                <w:color w:val="000000"/>
                <w:sz w:val="24"/>
                <w:szCs w:val="24"/>
                <w:lang w:eastAsia="hr-HR"/>
              </w:rPr>
              <w:t>Sv.Vid</w:t>
            </w:r>
          </w:p>
        </w:tc>
        <w:tc>
          <w:tcPr>
            <w:tcW w:w="2351" w:type="dxa"/>
            <w:noWrap/>
            <w:vAlign w:val="center"/>
            <w:hideMark/>
          </w:tcPr>
          <w:p w14:paraId="614CDFB2"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255.618,00</w:t>
            </w:r>
          </w:p>
        </w:tc>
      </w:tr>
      <w:tr w:rsidR="00870CFB" w:rsidRPr="000D568F" w14:paraId="65BFB19B" w14:textId="77777777" w:rsidTr="000D568F">
        <w:trPr>
          <w:trHeight w:val="248"/>
        </w:trPr>
        <w:tc>
          <w:tcPr>
            <w:tcW w:w="290" w:type="dxa"/>
          </w:tcPr>
          <w:p w14:paraId="38AA90C6" w14:textId="0B2EA2CF"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vAlign w:val="center"/>
            <w:hideMark/>
          </w:tcPr>
          <w:p w14:paraId="62996F44" w14:textId="4611E0AB"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 xml:space="preserve">izgradnja vodovoda u naselju </w:t>
            </w:r>
            <w:r w:rsidR="00870CFB" w:rsidRPr="000D568F">
              <w:rPr>
                <w:rFonts w:eastAsia="Times New Roman" w:cstheme="minorHAnsi"/>
                <w:color w:val="000000"/>
                <w:sz w:val="24"/>
                <w:szCs w:val="24"/>
                <w:lang w:eastAsia="hr-HR"/>
              </w:rPr>
              <w:t>Sužan</w:t>
            </w:r>
          </w:p>
        </w:tc>
        <w:tc>
          <w:tcPr>
            <w:tcW w:w="2351" w:type="dxa"/>
            <w:noWrap/>
            <w:vAlign w:val="center"/>
            <w:hideMark/>
          </w:tcPr>
          <w:p w14:paraId="334E8136"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248.954,91</w:t>
            </w:r>
          </w:p>
        </w:tc>
      </w:tr>
      <w:tr w:rsidR="00870CFB" w:rsidRPr="000D568F" w14:paraId="5CE20DD2" w14:textId="77777777" w:rsidTr="000D568F">
        <w:trPr>
          <w:trHeight w:val="248"/>
        </w:trPr>
        <w:tc>
          <w:tcPr>
            <w:tcW w:w="290" w:type="dxa"/>
          </w:tcPr>
          <w:p w14:paraId="219BCF00" w14:textId="172889FC"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vAlign w:val="center"/>
            <w:hideMark/>
          </w:tcPr>
          <w:p w14:paraId="060D81F8" w14:textId="5FCB8242"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 xml:space="preserve">izgradnja vodovoda u naselju </w:t>
            </w:r>
            <w:r w:rsidR="00870CFB" w:rsidRPr="000D568F">
              <w:rPr>
                <w:rFonts w:eastAsia="Times New Roman" w:cstheme="minorHAnsi"/>
                <w:color w:val="000000"/>
                <w:sz w:val="24"/>
                <w:szCs w:val="24"/>
                <w:lang w:eastAsia="hr-HR"/>
              </w:rPr>
              <w:t>Garica</w:t>
            </w:r>
          </w:p>
        </w:tc>
        <w:tc>
          <w:tcPr>
            <w:tcW w:w="2351" w:type="dxa"/>
            <w:noWrap/>
            <w:vAlign w:val="center"/>
            <w:hideMark/>
          </w:tcPr>
          <w:p w14:paraId="4F3FC7D5"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225.192,38</w:t>
            </w:r>
          </w:p>
        </w:tc>
      </w:tr>
      <w:tr w:rsidR="00870CFB" w:rsidRPr="000D568F" w14:paraId="57E14634" w14:textId="77777777" w:rsidTr="000D568F">
        <w:trPr>
          <w:trHeight w:val="248"/>
        </w:trPr>
        <w:tc>
          <w:tcPr>
            <w:tcW w:w="290" w:type="dxa"/>
          </w:tcPr>
          <w:p w14:paraId="329B43C4" w14:textId="09425786"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vAlign w:val="center"/>
            <w:hideMark/>
          </w:tcPr>
          <w:p w14:paraId="67390A27" w14:textId="27A3B5AC"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r</w:t>
            </w:r>
            <w:r w:rsidR="00870CFB" w:rsidRPr="000D568F">
              <w:rPr>
                <w:rFonts w:eastAsia="Times New Roman" w:cstheme="minorHAnsi"/>
                <w:color w:val="000000"/>
                <w:sz w:val="24"/>
                <w:szCs w:val="24"/>
                <w:lang w:eastAsia="hr-HR"/>
              </w:rPr>
              <w:t>ekonstruk</w:t>
            </w:r>
            <w:r w:rsidRPr="000D568F">
              <w:rPr>
                <w:rFonts w:eastAsia="Times New Roman" w:cstheme="minorHAnsi"/>
                <w:color w:val="000000"/>
                <w:sz w:val="24"/>
                <w:szCs w:val="24"/>
                <w:lang w:eastAsia="hr-HR"/>
              </w:rPr>
              <w:t>c</w:t>
            </w:r>
            <w:r w:rsidR="00870CFB" w:rsidRPr="000D568F">
              <w:rPr>
                <w:rFonts w:eastAsia="Times New Roman" w:cstheme="minorHAnsi"/>
                <w:color w:val="000000"/>
                <w:sz w:val="24"/>
                <w:szCs w:val="24"/>
                <w:lang w:eastAsia="hr-HR"/>
              </w:rPr>
              <w:t>ija vodovoda Kornić</w:t>
            </w:r>
          </w:p>
        </w:tc>
        <w:tc>
          <w:tcPr>
            <w:tcW w:w="2351" w:type="dxa"/>
            <w:noWrap/>
            <w:vAlign w:val="center"/>
            <w:hideMark/>
          </w:tcPr>
          <w:p w14:paraId="12476458"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221.178,85</w:t>
            </w:r>
          </w:p>
        </w:tc>
      </w:tr>
      <w:tr w:rsidR="00870CFB" w:rsidRPr="000D568F" w14:paraId="159418ED" w14:textId="77777777" w:rsidTr="000D568F">
        <w:trPr>
          <w:trHeight w:val="248"/>
        </w:trPr>
        <w:tc>
          <w:tcPr>
            <w:tcW w:w="290" w:type="dxa"/>
          </w:tcPr>
          <w:p w14:paraId="14AA6528" w14:textId="51247463" w:rsidR="00870CFB" w:rsidRPr="000D568F" w:rsidRDefault="0025352F">
            <w:pPr>
              <w:spacing w:after="0" w:line="240" w:lineRule="auto"/>
              <w:rPr>
                <w:rFonts w:eastAsia="Times New Roman" w:cstheme="minorHAnsi"/>
                <w:color w:val="000000"/>
                <w:sz w:val="24"/>
                <w:szCs w:val="24"/>
                <w:lang w:eastAsia="hr-HR"/>
              </w:rPr>
            </w:pPr>
            <w:r w:rsidRPr="000D568F">
              <w:rPr>
                <w:rFonts w:eastAsia="Times New Roman" w:cstheme="minorHAnsi"/>
                <w:color w:val="000000"/>
                <w:sz w:val="24"/>
                <w:szCs w:val="24"/>
                <w:lang w:eastAsia="hr-HR"/>
              </w:rPr>
              <w:t>-</w:t>
            </w:r>
          </w:p>
        </w:tc>
        <w:tc>
          <w:tcPr>
            <w:tcW w:w="6429" w:type="dxa"/>
            <w:vAlign w:val="center"/>
            <w:hideMark/>
          </w:tcPr>
          <w:p w14:paraId="784F289B" w14:textId="62B5718A" w:rsidR="00870CFB" w:rsidRPr="000D568F" w:rsidRDefault="00292998">
            <w:pPr>
              <w:spacing w:after="0" w:line="240" w:lineRule="auto"/>
              <w:rPr>
                <w:rFonts w:eastAsia="Times New Roman" w:cstheme="minorHAnsi"/>
                <w:color w:val="000000"/>
                <w:sz w:val="24"/>
                <w:szCs w:val="24"/>
                <w:lang w:eastAsia="hr-HR"/>
              </w:rPr>
            </w:pPr>
            <w:r>
              <w:rPr>
                <w:rFonts w:eastAsia="Times New Roman" w:cstheme="minorHAnsi"/>
                <w:color w:val="000000"/>
                <w:sz w:val="24"/>
                <w:szCs w:val="24"/>
                <w:lang w:eastAsia="hr-HR"/>
              </w:rPr>
              <w:t>i</w:t>
            </w:r>
            <w:r w:rsidR="0025352F" w:rsidRPr="000D568F">
              <w:rPr>
                <w:rFonts w:eastAsia="Times New Roman" w:cstheme="minorHAnsi"/>
                <w:color w:val="000000"/>
                <w:sz w:val="24"/>
                <w:szCs w:val="24"/>
                <w:lang w:eastAsia="hr-HR"/>
              </w:rPr>
              <w:t>zgradnja</w:t>
            </w:r>
            <w:r w:rsidR="003F4C74" w:rsidRPr="000D568F">
              <w:rPr>
                <w:rFonts w:eastAsia="Times New Roman" w:cstheme="minorHAnsi"/>
                <w:color w:val="000000"/>
                <w:sz w:val="24"/>
                <w:szCs w:val="24"/>
                <w:lang w:eastAsia="hr-HR"/>
              </w:rPr>
              <w:t>/rekonstrukcija</w:t>
            </w:r>
            <w:r w:rsidR="0025352F" w:rsidRPr="000D568F">
              <w:rPr>
                <w:rFonts w:eastAsia="Times New Roman" w:cstheme="minorHAnsi"/>
                <w:color w:val="000000"/>
                <w:sz w:val="24"/>
                <w:szCs w:val="24"/>
                <w:lang w:eastAsia="hr-HR"/>
              </w:rPr>
              <w:t xml:space="preserve"> kanalizacije i vodovoda u naselju </w:t>
            </w:r>
            <w:r w:rsidR="00870CFB" w:rsidRPr="000D568F">
              <w:rPr>
                <w:rFonts w:eastAsia="Times New Roman" w:cstheme="minorHAnsi"/>
                <w:color w:val="000000"/>
                <w:sz w:val="24"/>
                <w:szCs w:val="24"/>
                <w:lang w:eastAsia="hr-HR"/>
              </w:rPr>
              <w:t>Draga Bašćanska</w:t>
            </w:r>
          </w:p>
        </w:tc>
        <w:tc>
          <w:tcPr>
            <w:tcW w:w="2351" w:type="dxa"/>
            <w:noWrap/>
            <w:vAlign w:val="center"/>
            <w:hideMark/>
          </w:tcPr>
          <w:p w14:paraId="0FD5BBD8" w14:textId="77777777" w:rsidR="00870CFB" w:rsidRPr="000D568F" w:rsidRDefault="00870CFB">
            <w:pPr>
              <w:spacing w:after="0" w:line="240" w:lineRule="auto"/>
              <w:jc w:val="right"/>
              <w:rPr>
                <w:rFonts w:eastAsia="Times New Roman" w:cstheme="minorHAnsi"/>
                <w:color w:val="000000"/>
                <w:sz w:val="24"/>
                <w:szCs w:val="24"/>
                <w:lang w:eastAsia="hr-HR"/>
              </w:rPr>
            </w:pPr>
            <w:r w:rsidRPr="000D568F">
              <w:rPr>
                <w:rFonts w:eastAsia="Times New Roman" w:cstheme="minorHAnsi"/>
                <w:color w:val="000000"/>
                <w:sz w:val="24"/>
                <w:szCs w:val="24"/>
                <w:lang w:eastAsia="hr-HR"/>
              </w:rPr>
              <w:t>187.019,93</w:t>
            </w:r>
          </w:p>
        </w:tc>
      </w:tr>
      <w:tr w:rsidR="00870CFB" w:rsidRPr="00FA3619" w14:paraId="3B024182" w14:textId="77777777" w:rsidTr="00437306">
        <w:trPr>
          <w:trHeight w:val="248"/>
        </w:trPr>
        <w:tc>
          <w:tcPr>
            <w:tcW w:w="290" w:type="dxa"/>
            <w:shd w:val="clear" w:color="auto" w:fill="auto"/>
          </w:tcPr>
          <w:p w14:paraId="0156CC86" w14:textId="3EB61222"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5ADA8837" w14:textId="00575C6D" w:rsidR="00870CFB" w:rsidRPr="004E45B5" w:rsidRDefault="0025352F">
            <w:pPr>
              <w:spacing w:after="0" w:line="240" w:lineRule="auto"/>
              <w:rPr>
                <w:rFonts w:eastAsia="Times New Roman" w:cstheme="minorHAnsi"/>
                <w:color w:val="000000"/>
                <w:sz w:val="24"/>
                <w:szCs w:val="24"/>
                <w:lang w:eastAsia="hr-HR"/>
              </w:rPr>
            </w:pPr>
            <w:r w:rsidRPr="004E45B5">
              <w:rPr>
                <w:rFonts w:eastAsia="Times New Roman" w:cstheme="minorHAnsi"/>
                <w:color w:val="000000"/>
                <w:sz w:val="24"/>
                <w:szCs w:val="24"/>
                <w:lang w:eastAsia="hr-HR"/>
              </w:rPr>
              <w:t xml:space="preserve">izgradnja vodovoda u naselju </w:t>
            </w:r>
            <w:r w:rsidR="00870CFB" w:rsidRPr="004E45B5">
              <w:rPr>
                <w:rFonts w:eastAsia="Times New Roman" w:cstheme="minorHAnsi"/>
                <w:color w:val="000000"/>
                <w:sz w:val="24"/>
                <w:szCs w:val="24"/>
                <w:lang w:eastAsia="hr-HR"/>
              </w:rPr>
              <w:t>Brzac</w:t>
            </w:r>
          </w:p>
        </w:tc>
        <w:tc>
          <w:tcPr>
            <w:tcW w:w="2351" w:type="dxa"/>
            <w:shd w:val="clear" w:color="auto" w:fill="auto"/>
            <w:noWrap/>
            <w:vAlign w:val="center"/>
            <w:hideMark/>
          </w:tcPr>
          <w:p w14:paraId="0CA89900"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163.416,60</w:t>
            </w:r>
          </w:p>
        </w:tc>
      </w:tr>
      <w:tr w:rsidR="00870CFB" w:rsidRPr="00FA3619" w14:paraId="07ACD321" w14:textId="77777777" w:rsidTr="00437306">
        <w:trPr>
          <w:trHeight w:val="248"/>
        </w:trPr>
        <w:tc>
          <w:tcPr>
            <w:tcW w:w="290" w:type="dxa"/>
            <w:shd w:val="clear" w:color="auto" w:fill="auto"/>
          </w:tcPr>
          <w:p w14:paraId="29BE2096" w14:textId="69E27A17"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w:t>
            </w:r>
          </w:p>
        </w:tc>
        <w:tc>
          <w:tcPr>
            <w:tcW w:w="6429" w:type="dxa"/>
            <w:shd w:val="clear" w:color="auto" w:fill="auto"/>
            <w:vAlign w:val="center"/>
            <w:hideMark/>
          </w:tcPr>
          <w:p w14:paraId="6097EE05" w14:textId="02FF2CE4" w:rsidR="00870CFB" w:rsidRPr="003F4C74" w:rsidRDefault="0025352F">
            <w:pPr>
              <w:spacing w:after="0" w:line="240" w:lineRule="auto"/>
              <w:rPr>
                <w:rFonts w:eastAsia="Times New Roman" w:cstheme="minorHAnsi"/>
                <w:color w:val="000000"/>
                <w:sz w:val="24"/>
                <w:szCs w:val="24"/>
                <w:lang w:eastAsia="hr-HR"/>
              </w:rPr>
            </w:pPr>
            <w:r w:rsidRPr="003F4C74">
              <w:rPr>
                <w:rFonts w:eastAsia="Times New Roman" w:cstheme="minorHAnsi"/>
                <w:color w:val="000000"/>
                <w:sz w:val="24"/>
                <w:szCs w:val="24"/>
                <w:lang w:eastAsia="hr-HR"/>
              </w:rPr>
              <w:t>izgradnja</w:t>
            </w:r>
            <w:r w:rsidR="00870CFB" w:rsidRPr="003F4C74">
              <w:rPr>
                <w:rFonts w:eastAsia="Times New Roman" w:cstheme="minorHAnsi"/>
                <w:color w:val="000000"/>
                <w:sz w:val="24"/>
                <w:szCs w:val="24"/>
                <w:lang w:eastAsia="hr-HR"/>
              </w:rPr>
              <w:t xml:space="preserve"> vodovoda </w:t>
            </w:r>
            <w:r w:rsidRPr="003F4C74">
              <w:rPr>
                <w:rFonts w:eastAsia="Times New Roman" w:cstheme="minorHAnsi"/>
                <w:color w:val="000000"/>
                <w:sz w:val="24"/>
                <w:szCs w:val="24"/>
                <w:lang w:eastAsia="hr-HR"/>
              </w:rPr>
              <w:t xml:space="preserve">u naselju </w:t>
            </w:r>
            <w:r w:rsidR="00870CFB" w:rsidRPr="003F4C74">
              <w:rPr>
                <w:rFonts w:eastAsia="Times New Roman" w:cstheme="minorHAnsi"/>
                <w:color w:val="000000"/>
                <w:sz w:val="24"/>
                <w:szCs w:val="24"/>
                <w:lang w:eastAsia="hr-HR"/>
              </w:rPr>
              <w:t>Polje</w:t>
            </w:r>
          </w:p>
        </w:tc>
        <w:tc>
          <w:tcPr>
            <w:tcW w:w="2351" w:type="dxa"/>
            <w:tcBorders>
              <w:bottom w:val="single" w:sz="4" w:space="0" w:color="auto"/>
            </w:tcBorders>
            <w:shd w:val="clear" w:color="auto" w:fill="auto"/>
            <w:noWrap/>
            <w:vAlign w:val="center"/>
            <w:hideMark/>
          </w:tcPr>
          <w:p w14:paraId="3F930ED5" w14:textId="77777777" w:rsidR="00870CFB" w:rsidRPr="003F4C74" w:rsidRDefault="00870CFB">
            <w:pPr>
              <w:spacing w:after="0" w:line="240" w:lineRule="auto"/>
              <w:jc w:val="right"/>
              <w:rPr>
                <w:rFonts w:eastAsia="Times New Roman" w:cstheme="minorHAnsi"/>
                <w:color w:val="000000"/>
                <w:sz w:val="24"/>
                <w:szCs w:val="24"/>
                <w:lang w:eastAsia="hr-HR"/>
              </w:rPr>
            </w:pPr>
            <w:r w:rsidRPr="003F4C74">
              <w:rPr>
                <w:rFonts w:eastAsia="Times New Roman" w:cstheme="minorHAnsi"/>
                <w:color w:val="000000"/>
                <w:sz w:val="24"/>
                <w:szCs w:val="24"/>
                <w:lang w:eastAsia="hr-HR"/>
              </w:rPr>
              <w:t>128.507,50</w:t>
            </w:r>
          </w:p>
        </w:tc>
      </w:tr>
      <w:tr w:rsidR="00437306" w:rsidRPr="00FA3619" w14:paraId="25AE199E" w14:textId="77777777" w:rsidTr="00437306">
        <w:trPr>
          <w:trHeight w:val="248"/>
        </w:trPr>
        <w:tc>
          <w:tcPr>
            <w:tcW w:w="290" w:type="dxa"/>
            <w:shd w:val="clear" w:color="auto" w:fill="auto"/>
          </w:tcPr>
          <w:p w14:paraId="49F5CBCB" w14:textId="77777777" w:rsidR="00437306" w:rsidRPr="003F4C74" w:rsidRDefault="00437306">
            <w:pPr>
              <w:spacing w:after="0" w:line="240" w:lineRule="auto"/>
              <w:rPr>
                <w:rFonts w:eastAsia="Times New Roman" w:cstheme="minorHAnsi"/>
                <w:color w:val="000000"/>
                <w:sz w:val="24"/>
                <w:szCs w:val="24"/>
                <w:lang w:eastAsia="hr-HR"/>
              </w:rPr>
            </w:pPr>
          </w:p>
        </w:tc>
        <w:tc>
          <w:tcPr>
            <w:tcW w:w="6429" w:type="dxa"/>
            <w:shd w:val="clear" w:color="auto" w:fill="auto"/>
            <w:vAlign w:val="center"/>
          </w:tcPr>
          <w:p w14:paraId="75980CBD" w14:textId="77777777" w:rsidR="00437306" w:rsidRPr="003F4C74" w:rsidRDefault="00437306">
            <w:pPr>
              <w:spacing w:after="0" w:line="240" w:lineRule="auto"/>
              <w:rPr>
                <w:rFonts w:eastAsia="Times New Roman" w:cstheme="minorHAnsi"/>
                <w:color w:val="000000"/>
                <w:sz w:val="24"/>
                <w:szCs w:val="24"/>
                <w:lang w:eastAsia="hr-HR"/>
              </w:rPr>
            </w:pPr>
          </w:p>
        </w:tc>
        <w:tc>
          <w:tcPr>
            <w:tcW w:w="2351" w:type="dxa"/>
            <w:tcBorders>
              <w:top w:val="single" w:sz="4" w:space="0" w:color="auto"/>
            </w:tcBorders>
            <w:shd w:val="clear" w:color="auto" w:fill="auto"/>
            <w:noWrap/>
            <w:vAlign w:val="center"/>
          </w:tcPr>
          <w:p w14:paraId="652DB60E" w14:textId="6F5BE3AD" w:rsidR="00437306" w:rsidRPr="003F4C74" w:rsidRDefault="00437306">
            <w:pPr>
              <w:spacing w:after="0" w:line="240" w:lineRule="auto"/>
              <w:jc w:val="right"/>
              <w:rPr>
                <w:rFonts w:eastAsia="Times New Roman" w:cstheme="minorHAnsi"/>
                <w:color w:val="000000"/>
                <w:sz w:val="24"/>
                <w:szCs w:val="24"/>
                <w:lang w:eastAsia="hr-HR"/>
              </w:rPr>
            </w:pPr>
            <w:r w:rsidRPr="003F4C74">
              <w:rPr>
                <w:rFonts w:eastAsia="Times New Roman" w:cstheme="minorHAnsi"/>
                <w:b/>
                <w:bCs/>
                <w:color w:val="000000"/>
                <w:sz w:val="24"/>
                <w:szCs w:val="24"/>
                <w:lang w:eastAsia="hr-HR"/>
              </w:rPr>
              <w:t>16.</w:t>
            </w:r>
            <w:r w:rsidR="00292998">
              <w:rPr>
                <w:rFonts w:eastAsia="Times New Roman" w:cstheme="minorHAnsi"/>
                <w:b/>
                <w:bCs/>
                <w:color w:val="000000"/>
                <w:sz w:val="24"/>
                <w:szCs w:val="24"/>
                <w:lang w:eastAsia="hr-HR"/>
              </w:rPr>
              <w:t>553.126,57</w:t>
            </w:r>
          </w:p>
        </w:tc>
      </w:tr>
    </w:tbl>
    <w:p w14:paraId="6843AC45" w14:textId="3D35A420" w:rsidR="000E599D" w:rsidRDefault="000E599D" w:rsidP="003442D8">
      <w:pPr>
        <w:spacing w:after="0" w:line="240" w:lineRule="auto"/>
        <w:jc w:val="both"/>
        <w:rPr>
          <w:rFonts w:ascii="Calibri" w:eastAsia="Times New Roman" w:hAnsi="Calibri" w:cs="Times New Roman"/>
          <w:b/>
          <w:bCs/>
          <w:sz w:val="24"/>
          <w:szCs w:val="24"/>
        </w:rPr>
      </w:pPr>
    </w:p>
    <w:p w14:paraId="4DE6453A" w14:textId="77777777" w:rsidR="00266667" w:rsidRPr="000E599D" w:rsidRDefault="00266667" w:rsidP="003442D8">
      <w:pPr>
        <w:spacing w:after="0" w:line="240" w:lineRule="auto"/>
        <w:jc w:val="both"/>
        <w:rPr>
          <w:rFonts w:ascii="Calibri" w:eastAsia="Times New Roman" w:hAnsi="Calibri" w:cs="Times New Roman"/>
          <w:b/>
          <w:bCs/>
          <w:sz w:val="24"/>
          <w:szCs w:val="24"/>
        </w:rPr>
      </w:pPr>
    </w:p>
    <w:p w14:paraId="2D5BA191" w14:textId="1DC25024" w:rsidR="003442D8" w:rsidRDefault="003442D8" w:rsidP="00F9760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
          <w:bCs/>
          <w:iCs/>
          <w:sz w:val="24"/>
          <w:szCs w:val="24"/>
        </w:rPr>
        <w:t>/ii/</w:t>
      </w:r>
      <w:r w:rsidRPr="00FA3619">
        <w:rPr>
          <w:rFonts w:ascii="Calibri" w:eastAsia="Times New Roman" w:hAnsi="Calibri" w:cs="Times New Roman"/>
          <w:bCs/>
          <w:iCs/>
          <w:sz w:val="24"/>
          <w:szCs w:val="24"/>
        </w:rPr>
        <w:tab/>
        <w:t>Vrijednost osnovnih sredstava u p</w:t>
      </w:r>
      <w:r w:rsidR="009407FF" w:rsidRPr="00FA3619">
        <w:rPr>
          <w:rFonts w:ascii="Calibri" w:eastAsia="Times New Roman" w:hAnsi="Calibri" w:cs="Times New Roman"/>
          <w:bCs/>
          <w:iCs/>
          <w:sz w:val="24"/>
          <w:szCs w:val="24"/>
        </w:rPr>
        <w:t>ripremi na dan 31. prosinca 20</w:t>
      </w:r>
      <w:r w:rsidR="00FB3DC8" w:rsidRPr="00FA3619">
        <w:rPr>
          <w:rFonts w:ascii="Calibri" w:eastAsia="Times New Roman" w:hAnsi="Calibri" w:cs="Times New Roman"/>
          <w:bCs/>
          <w:iCs/>
          <w:sz w:val="24"/>
          <w:szCs w:val="24"/>
        </w:rPr>
        <w:t>20</w:t>
      </w:r>
      <w:r w:rsidRPr="00FA3619">
        <w:rPr>
          <w:rFonts w:ascii="Calibri" w:eastAsia="Times New Roman" w:hAnsi="Calibri" w:cs="Times New Roman"/>
          <w:bCs/>
          <w:iCs/>
          <w:sz w:val="24"/>
          <w:szCs w:val="24"/>
        </w:rPr>
        <w:t xml:space="preserve">. godini iznosi </w:t>
      </w:r>
      <w:r w:rsidR="00C81208" w:rsidRPr="00FA3619">
        <w:rPr>
          <w:rFonts w:ascii="Calibri" w:eastAsia="Times New Roman" w:hAnsi="Calibri" w:cs="Times New Roman"/>
          <w:bCs/>
          <w:iCs/>
          <w:sz w:val="24"/>
          <w:szCs w:val="24"/>
        </w:rPr>
        <w:t>266.628.681,09</w:t>
      </w:r>
      <w:r w:rsidRPr="00FA3619">
        <w:rPr>
          <w:rFonts w:ascii="Calibri" w:eastAsia="Times New Roman" w:hAnsi="Calibri" w:cs="Times New Roman"/>
          <w:bCs/>
          <w:iCs/>
          <w:sz w:val="24"/>
          <w:szCs w:val="24"/>
        </w:rPr>
        <w:t xml:space="preserve"> kn:</w:t>
      </w:r>
    </w:p>
    <w:p w14:paraId="428934B1" w14:textId="77777777" w:rsidR="00F9760A" w:rsidRPr="00F9760A" w:rsidRDefault="00F9760A" w:rsidP="00F9760A">
      <w:pPr>
        <w:spacing w:after="0" w:line="240" w:lineRule="auto"/>
        <w:ind w:right="92"/>
        <w:jc w:val="both"/>
        <w:rPr>
          <w:rFonts w:ascii="Calibri" w:eastAsia="Times New Roman" w:hAnsi="Calibri" w:cs="Times New Roman"/>
          <w:sz w:val="10"/>
          <w:szCs w:val="10"/>
        </w:rPr>
      </w:pPr>
    </w:p>
    <w:tbl>
      <w:tblPr>
        <w:tblW w:w="8696" w:type="dxa"/>
        <w:tblInd w:w="93" w:type="dxa"/>
        <w:tblLayout w:type="fixed"/>
        <w:tblLook w:val="04A0" w:firstRow="1" w:lastRow="0" w:firstColumn="1" w:lastColumn="0" w:noHBand="0" w:noVBand="1"/>
      </w:tblPr>
      <w:tblGrid>
        <w:gridCol w:w="333"/>
        <w:gridCol w:w="6202"/>
        <w:gridCol w:w="1745"/>
        <w:gridCol w:w="416"/>
      </w:tblGrid>
      <w:tr w:rsidR="003442D8" w:rsidRPr="00FA3619" w14:paraId="66C8EB6D" w14:textId="77777777" w:rsidTr="00437306">
        <w:trPr>
          <w:trHeight w:val="227"/>
        </w:trPr>
        <w:tc>
          <w:tcPr>
            <w:tcW w:w="333" w:type="dxa"/>
            <w:tcBorders>
              <w:top w:val="nil"/>
              <w:left w:val="nil"/>
              <w:bottom w:val="nil"/>
              <w:right w:val="nil"/>
            </w:tcBorders>
            <w:shd w:val="clear" w:color="auto" w:fill="auto"/>
            <w:hideMark/>
          </w:tcPr>
          <w:p w14:paraId="2F51F857" w14:textId="77777777" w:rsidR="003442D8" w:rsidRPr="00FA3619" w:rsidRDefault="003442D8" w:rsidP="003442D8">
            <w:pPr>
              <w:spacing w:after="0" w:line="240" w:lineRule="auto"/>
              <w:jc w:val="center"/>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w:t>
            </w:r>
          </w:p>
        </w:tc>
        <w:tc>
          <w:tcPr>
            <w:tcW w:w="6202" w:type="dxa"/>
            <w:tcBorders>
              <w:top w:val="nil"/>
              <w:left w:val="nil"/>
              <w:bottom w:val="nil"/>
              <w:right w:val="single" w:sz="4" w:space="0" w:color="auto"/>
            </w:tcBorders>
            <w:shd w:val="clear" w:color="auto" w:fill="auto"/>
            <w:hideMark/>
          </w:tcPr>
          <w:p w14:paraId="76B0F213" w14:textId="77777777" w:rsidR="003442D8" w:rsidRPr="00FA3619" w:rsidRDefault="005E0EA8" w:rsidP="003442D8">
            <w:pPr>
              <w:spacing w:after="0" w:line="240" w:lineRule="auto"/>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l</w:t>
            </w:r>
            <w:r w:rsidR="003442D8" w:rsidRPr="00FA3619">
              <w:rPr>
                <w:rFonts w:ascii="Calibri" w:eastAsia="Times New Roman" w:hAnsi="Calibri" w:cs="Times New Roman"/>
                <w:color w:val="000000"/>
                <w:sz w:val="24"/>
                <w:szCs w:val="24"/>
              </w:rPr>
              <w:t>inijske građevine – EU projekt</w:t>
            </w:r>
          </w:p>
        </w:tc>
        <w:tc>
          <w:tcPr>
            <w:tcW w:w="1745" w:type="dxa"/>
            <w:tcBorders>
              <w:top w:val="single" w:sz="4" w:space="0" w:color="auto"/>
              <w:left w:val="single" w:sz="4" w:space="0" w:color="auto"/>
              <w:bottom w:val="nil"/>
              <w:right w:val="single" w:sz="4" w:space="0" w:color="auto"/>
            </w:tcBorders>
            <w:shd w:val="clear" w:color="auto" w:fill="auto"/>
          </w:tcPr>
          <w:p w14:paraId="7D43C640" w14:textId="684700CA" w:rsidR="003442D8" w:rsidRPr="00FA3619" w:rsidRDefault="00FF3F93" w:rsidP="003442D8">
            <w:pPr>
              <w:spacing w:after="0" w:line="240" w:lineRule="auto"/>
              <w:jc w:val="right"/>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216.010.994,43</w:t>
            </w:r>
          </w:p>
        </w:tc>
        <w:tc>
          <w:tcPr>
            <w:tcW w:w="416" w:type="dxa"/>
            <w:tcBorders>
              <w:top w:val="nil"/>
              <w:left w:val="single" w:sz="4" w:space="0" w:color="auto"/>
              <w:bottom w:val="nil"/>
              <w:right w:val="nil"/>
            </w:tcBorders>
            <w:shd w:val="clear" w:color="auto" w:fill="auto"/>
            <w:noWrap/>
            <w:vAlign w:val="bottom"/>
            <w:hideMark/>
          </w:tcPr>
          <w:p w14:paraId="2C196F20" w14:textId="77777777" w:rsidR="003442D8" w:rsidRPr="00FA3619" w:rsidRDefault="003442D8" w:rsidP="003442D8">
            <w:pPr>
              <w:spacing w:after="0" w:line="240" w:lineRule="auto"/>
              <w:rPr>
                <w:rFonts w:ascii="Calibri" w:eastAsia="Times New Roman" w:hAnsi="Calibri" w:cs="Times New Roman"/>
                <w:color w:val="000000"/>
              </w:rPr>
            </w:pPr>
          </w:p>
        </w:tc>
      </w:tr>
      <w:tr w:rsidR="003442D8" w:rsidRPr="00FA3619" w14:paraId="7E41E586" w14:textId="77777777" w:rsidTr="00437306">
        <w:trPr>
          <w:trHeight w:val="227"/>
        </w:trPr>
        <w:tc>
          <w:tcPr>
            <w:tcW w:w="333" w:type="dxa"/>
            <w:tcBorders>
              <w:top w:val="nil"/>
              <w:left w:val="nil"/>
              <w:bottom w:val="nil"/>
              <w:right w:val="nil"/>
            </w:tcBorders>
            <w:shd w:val="clear" w:color="auto" w:fill="auto"/>
            <w:hideMark/>
          </w:tcPr>
          <w:p w14:paraId="44FC9568" w14:textId="77777777" w:rsidR="003442D8" w:rsidRPr="00FA3619" w:rsidRDefault="003442D8" w:rsidP="003442D8">
            <w:pPr>
              <w:spacing w:after="0" w:line="240" w:lineRule="auto"/>
              <w:jc w:val="center"/>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w:t>
            </w:r>
          </w:p>
        </w:tc>
        <w:tc>
          <w:tcPr>
            <w:tcW w:w="6202" w:type="dxa"/>
            <w:tcBorders>
              <w:top w:val="nil"/>
              <w:left w:val="nil"/>
              <w:bottom w:val="nil"/>
              <w:right w:val="single" w:sz="4" w:space="0" w:color="auto"/>
            </w:tcBorders>
            <w:shd w:val="clear" w:color="auto" w:fill="auto"/>
            <w:hideMark/>
          </w:tcPr>
          <w:p w14:paraId="28FC8455" w14:textId="455CBCED" w:rsidR="003442D8" w:rsidRPr="00FA3619" w:rsidRDefault="005E0EA8" w:rsidP="003442D8">
            <w:pPr>
              <w:spacing w:after="0" w:line="240" w:lineRule="auto"/>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n</w:t>
            </w:r>
            <w:r w:rsidR="003442D8" w:rsidRPr="00FA3619">
              <w:rPr>
                <w:rFonts w:ascii="Calibri" w:eastAsia="Times New Roman" w:hAnsi="Calibri" w:cs="Times New Roman"/>
                <w:color w:val="000000"/>
                <w:sz w:val="24"/>
                <w:szCs w:val="24"/>
              </w:rPr>
              <w:t>adzor –</w:t>
            </w:r>
            <w:r w:rsidR="00264A2F" w:rsidRPr="00FA3619">
              <w:rPr>
                <w:rFonts w:ascii="Calibri" w:eastAsia="Times New Roman" w:hAnsi="Calibri" w:cs="Times New Roman"/>
                <w:color w:val="000000"/>
                <w:sz w:val="24"/>
                <w:szCs w:val="24"/>
              </w:rPr>
              <w:t xml:space="preserve"> </w:t>
            </w:r>
            <w:r w:rsidR="003442D8" w:rsidRPr="00FA3619">
              <w:rPr>
                <w:rFonts w:ascii="Calibri" w:eastAsia="Times New Roman" w:hAnsi="Calibri" w:cs="Times New Roman"/>
                <w:color w:val="000000"/>
                <w:sz w:val="24"/>
                <w:szCs w:val="24"/>
              </w:rPr>
              <w:t>EU projekt</w:t>
            </w:r>
          </w:p>
        </w:tc>
        <w:tc>
          <w:tcPr>
            <w:tcW w:w="1745" w:type="dxa"/>
            <w:tcBorders>
              <w:top w:val="nil"/>
              <w:left w:val="single" w:sz="4" w:space="0" w:color="auto"/>
              <w:bottom w:val="nil"/>
              <w:right w:val="single" w:sz="4" w:space="0" w:color="auto"/>
            </w:tcBorders>
            <w:shd w:val="clear" w:color="auto" w:fill="auto"/>
          </w:tcPr>
          <w:p w14:paraId="7A6D8AA4" w14:textId="4A16284F" w:rsidR="003442D8" w:rsidRPr="00FA3619" w:rsidRDefault="00FF3F93" w:rsidP="003442D8">
            <w:pPr>
              <w:spacing w:after="0" w:line="240" w:lineRule="auto"/>
              <w:jc w:val="right"/>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3.653.069,94</w:t>
            </w:r>
          </w:p>
        </w:tc>
        <w:tc>
          <w:tcPr>
            <w:tcW w:w="416" w:type="dxa"/>
            <w:tcBorders>
              <w:top w:val="nil"/>
              <w:left w:val="single" w:sz="4" w:space="0" w:color="auto"/>
              <w:bottom w:val="nil"/>
              <w:right w:val="nil"/>
            </w:tcBorders>
            <w:shd w:val="clear" w:color="auto" w:fill="auto"/>
            <w:noWrap/>
            <w:vAlign w:val="bottom"/>
            <w:hideMark/>
          </w:tcPr>
          <w:p w14:paraId="576CA6A5" w14:textId="77777777" w:rsidR="003442D8" w:rsidRPr="00FA3619" w:rsidRDefault="003442D8" w:rsidP="003442D8">
            <w:pPr>
              <w:spacing w:after="0" w:line="240" w:lineRule="auto"/>
              <w:rPr>
                <w:rFonts w:ascii="Calibri" w:eastAsia="Times New Roman" w:hAnsi="Calibri" w:cs="Times New Roman"/>
                <w:color w:val="000000"/>
              </w:rPr>
            </w:pPr>
          </w:p>
        </w:tc>
      </w:tr>
      <w:tr w:rsidR="003442D8" w:rsidRPr="00FA3619" w14:paraId="0411F7F3" w14:textId="77777777" w:rsidTr="00437306">
        <w:trPr>
          <w:trHeight w:val="227"/>
        </w:trPr>
        <w:tc>
          <w:tcPr>
            <w:tcW w:w="333" w:type="dxa"/>
            <w:tcBorders>
              <w:top w:val="nil"/>
              <w:left w:val="nil"/>
              <w:bottom w:val="nil"/>
              <w:right w:val="nil"/>
            </w:tcBorders>
            <w:shd w:val="clear" w:color="auto" w:fill="auto"/>
            <w:hideMark/>
          </w:tcPr>
          <w:p w14:paraId="410F40DD" w14:textId="77777777" w:rsidR="003442D8" w:rsidRPr="00FA3619" w:rsidRDefault="003442D8" w:rsidP="003442D8">
            <w:pPr>
              <w:spacing w:after="0" w:line="240" w:lineRule="auto"/>
              <w:jc w:val="center"/>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w:t>
            </w:r>
          </w:p>
        </w:tc>
        <w:tc>
          <w:tcPr>
            <w:tcW w:w="6202" w:type="dxa"/>
            <w:tcBorders>
              <w:top w:val="nil"/>
              <w:left w:val="nil"/>
              <w:bottom w:val="nil"/>
              <w:right w:val="single" w:sz="4" w:space="0" w:color="auto"/>
            </w:tcBorders>
            <w:shd w:val="clear" w:color="auto" w:fill="auto"/>
            <w:hideMark/>
          </w:tcPr>
          <w:p w14:paraId="01382971" w14:textId="77777777" w:rsidR="003442D8" w:rsidRPr="00FA3619" w:rsidRDefault="005E0EA8" w:rsidP="003442D8">
            <w:pPr>
              <w:spacing w:after="0" w:line="240" w:lineRule="auto"/>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u</w:t>
            </w:r>
            <w:r w:rsidR="003442D8" w:rsidRPr="00FA3619">
              <w:rPr>
                <w:rFonts w:ascii="Calibri" w:eastAsia="Times New Roman" w:hAnsi="Calibri" w:cs="Times New Roman"/>
                <w:color w:val="000000"/>
                <w:sz w:val="24"/>
                <w:szCs w:val="24"/>
              </w:rPr>
              <w:t xml:space="preserve">pravljanje EU projektom </w:t>
            </w:r>
          </w:p>
        </w:tc>
        <w:tc>
          <w:tcPr>
            <w:tcW w:w="1745" w:type="dxa"/>
            <w:tcBorders>
              <w:top w:val="nil"/>
              <w:left w:val="single" w:sz="4" w:space="0" w:color="auto"/>
              <w:bottom w:val="nil"/>
              <w:right w:val="single" w:sz="4" w:space="0" w:color="auto"/>
            </w:tcBorders>
            <w:shd w:val="clear" w:color="auto" w:fill="auto"/>
          </w:tcPr>
          <w:p w14:paraId="629A8EA5" w14:textId="77777777" w:rsidR="003442D8" w:rsidRPr="00FA3619" w:rsidRDefault="00AD40DD" w:rsidP="003442D8">
            <w:pPr>
              <w:spacing w:after="0" w:line="240" w:lineRule="auto"/>
              <w:jc w:val="right"/>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3.674.191,19</w:t>
            </w:r>
          </w:p>
        </w:tc>
        <w:tc>
          <w:tcPr>
            <w:tcW w:w="416" w:type="dxa"/>
            <w:tcBorders>
              <w:top w:val="nil"/>
              <w:left w:val="single" w:sz="4" w:space="0" w:color="auto"/>
              <w:bottom w:val="nil"/>
              <w:right w:val="nil"/>
            </w:tcBorders>
            <w:shd w:val="clear" w:color="auto" w:fill="auto"/>
            <w:noWrap/>
            <w:vAlign w:val="bottom"/>
            <w:hideMark/>
          </w:tcPr>
          <w:p w14:paraId="5E5F2B6E" w14:textId="77777777" w:rsidR="003442D8" w:rsidRPr="00FA3619" w:rsidRDefault="003442D8" w:rsidP="003442D8">
            <w:pPr>
              <w:spacing w:after="0" w:line="240" w:lineRule="auto"/>
              <w:rPr>
                <w:rFonts w:ascii="Calibri" w:eastAsia="Times New Roman" w:hAnsi="Calibri" w:cs="Times New Roman"/>
                <w:color w:val="000000"/>
              </w:rPr>
            </w:pPr>
          </w:p>
        </w:tc>
      </w:tr>
      <w:tr w:rsidR="003442D8" w:rsidRPr="008F425B" w14:paraId="22DF1CDD" w14:textId="77777777" w:rsidTr="00437306">
        <w:trPr>
          <w:trHeight w:val="227"/>
        </w:trPr>
        <w:tc>
          <w:tcPr>
            <w:tcW w:w="333" w:type="dxa"/>
            <w:tcBorders>
              <w:top w:val="nil"/>
              <w:left w:val="nil"/>
              <w:bottom w:val="nil"/>
              <w:right w:val="nil"/>
            </w:tcBorders>
            <w:shd w:val="clear" w:color="auto" w:fill="auto"/>
            <w:hideMark/>
          </w:tcPr>
          <w:p w14:paraId="4061E8B7" w14:textId="77777777" w:rsidR="003442D8" w:rsidRPr="00C97F93" w:rsidRDefault="003442D8" w:rsidP="003442D8">
            <w:pPr>
              <w:spacing w:after="0" w:line="240" w:lineRule="auto"/>
              <w:jc w:val="center"/>
              <w:rPr>
                <w:rFonts w:ascii="Calibri" w:eastAsia="Times New Roman" w:hAnsi="Calibri" w:cs="Times New Roman"/>
                <w:color w:val="000000"/>
                <w:sz w:val="24"/>
                <w:szCs w:val="24"/>
              </w:rPr>
            </w:pPr>
            <w:r w:rsidRPr="00C97F93">
              <w:rPr>
                <w:rFonts w:ascii="Calibri" w:eastAsia="Times New Roman" w:hAnsi="Calibri" w:cs="Times New Roman"/>
                <w:color w:val="000000"/>
                <w:sz w:val="24"/>
                <w:szCs w:val="24"/>
              </w:rPr>
              <w:t>-</w:t>
            </w:r>
          </w:p>
        </w:tc>
        <w:tc>
          <w:tcPr>
            <w:tcW w:w="6202" w:type="dxa"/>
            <w:tcBorders>
              <w:top w:val="nil"/>
              <w:left w:val="nil"/>
              <w:bottom w:val="nil"/>
              <w:right w:val="single" w:sz="4" w:space="0" w:color="auto"/>
            </w:tcBorders>
            <w:shd w:val="clear" w:color="auto" w:fill="auto"/>
            <w:hideMark/>
          </w:tcPr>
          <w:p w14:paraId="07297A3E" w14:textId="77777777" w:rsidR="003442D8" w:rsidRPr="00C97F93" w:rsidRDefault="005E0EA8" w:rsidP="003442D8">
            <w:pPr>
              <w:spacing w:after="0" w:line="240" w:lineRule="auto"/>
              <w:rPr>
                <w:rFonts w:ascii="Calibri" w:eastAsia="Times New Roman" w:hAnsi="Calibri" w:cs="Times New Roman"/>
                <w:color w:val="000000"/>
                <w:sz w:val="24"/>
                <w:szCs w:val="24"/>
              </w:rPr>
            </w:pPr>
            <w:r w:rsidRPr="00C97F93">
              <w:rPr>
                <w:rFonts w:ascii="Calibri" w:eastAsia="Times New Roman" w:hAnsi="Calibri" w:cs="Times New Roman"/>
                <w:color w:val="000000"/>
                <w:sz w:val="24"/>
                <w:szCs w:val="24"/>
              </w:rPr>
              <w:t>v</w:t>
            </w:r>
            <w:r w:rsidR="003442D8" w:rsidRPr="00C97F93">
              <w:rPr>
                <w:rFonts w:ascii="Calibri" w:eastAsia="Times New Roman" w:hAnsi="Calibri" w:cs="Times New Roman"/>
                <w:color w:val="000000"/>
                <w:sz w:val="24"/>
                <w:szCs w:val="24"/>
              </w:rPr>
              <w:t>idljivost EU projekta</w:t>
            </w:r>
          </w:p>
        </w:tc>
        <w:tc>
          <w:tcPr>
            <w:tcW w:w="1745" w:type="dxa"/>
            <w:tcBorders>
              <w:top w:val="nil"/>
              <w:left w:val="single" w:sz="4" w:space="0" w:color="auto"/>
              <w:bottom w:val="nil"/>
              <w:right w:val="single" w:sz="4" w:space="0" w:color="auto"/>
            </w:tcBorders>
            <w:shd w:val="clear" w:color="auto" w:fill="auto"/>
          </w:tcPr>
          <w:p w14:paraId="5D43541E" w14:textId="77777777" w:rsidR="003442D8" w:rsidRPr="00FA3619" w:rsidRDefault="00AD40DD" w:rsidP="003442D8">
            <w:pPr>
              <w:spacing w:after="0" w:line="240" w:lineRule="auto"/>
              <w:jc w:val="right"/>
              <w:rPr>
                <w:rFonts w:ascii="Calibri" w:eastAsia="Times New Roman" w:hAnsi="Calibri" w:cs="Times New Roman"/>
                <w:color w:val="000000"/>
                <w:sz w:val="24"/>
                <w:szCs w:val="24"/>
              </w:rPr>
            </w:pPr>
            <w:r w:rsidRPr="00FA3619">
              <w:rPr>
                <w:rFonts w:ascii="Calibri" w:eastAsia="Times New Roman" w:hAnsi="Calibri" w:cs="Times New Roman"/>
                <w:color w:val="000000"/>
                <w:sz w:val="24"/>
                <w:szCs w:val="24"/>
              </w:rPr>
              <w:t>127.431,50</w:t>
            </w:r>
          </w:p>
        </w:tc>
        <w:tc>
          <w:tcPr>
            <w:tcW w:w="416" w:type="dxa"/>
            <w:tcBorders>
              <w:top w:val="nil"/>
              <w:left w:val="single" w:sz="4" w:space="0" w:color="auto"/>
              <w:bottom w:val="nil"/>
              <w:right w:val="nil"/>
            </w:tcBorders>
            <w:shd w:val="clear" w:color="auto" w:fill="auto"/>
            <w:noWrap/>
            <w:vAlign w:val="bottom"/>
            <w:hideMark/>
          </w:tcPr>
          <w:p w14:paraId="7AFEFA8E" w14:textId="77777777" w:rsidR="003442D8" w:rsidRPr="008F425B" w:rsidRDefault="003442D8" w:rsidP="003442D8">
            <w:pPr>
              <w:spacing w:after="0" w:line="240" w:lineRule="auto"/>
              <w:rPr>
                <w:rFonts w:ascii="Calibri" w:eastAsia="Times New Roman" w:hAnsi="Calibri" w:cs="Times New Roman"/>
                <w:color w:val="000000"/>
              </w:rPr>
            </w:pPr>
          </w:p>
        </w:tc>
      </w:tr>
      <w:tr w:rsidR="00F9760A" w:rsidRPr="008F425B" w14:paraId="30C9BC6B" w14:textId="77777777" w:rsidTr="00437306">
        <w:trPr>
          <w:trHeight w:val="227"/>
        </w:trPr>
        <w:tc>
          <w:tcPr>
            <w:tcW w:w="333" w:type="dxa"/>
            <w:tcBorders>
              <w:top w:val="nil"/>
              <w:left w:val="nil"/>
              <w:bottom w:val="nil"/>
              <w:right w:val="nil"/>
            </w:tcBorders>
            <w:shd w:val="clear" w:color="auto" w:fill="auto"/>
          </w:tcPr>
          <w:p w14:paraId="1E736AD9" w14:textId="36836864" w:rsidR="00F9760A" w:rsidRPr="00FA3619" w:rsidRDefault="00F9760A" w:rsidP="003442D8">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p>
        </w:tc>
        <w:tc>
          <w:tcPr>
            <w:tcW w:w="6202" w:type="dxa"/>
            <w:tcBorders>
              <w:top w:val="nil"/>
              <w:left w:val="nil"/>
              <w:bottom w:val="nil"/>
              <w:right w:val="single" w:sz="4" w:space="0" w:color="auto"/>
            </w:tcBorders>
            <w:shd w:val="clear" w:color="auto" w:fill="auto"/>
          </w:tcPr>
          <w:p w14:paraId="4CD6BC41" w14:textId="4585BBD3" w:rsidR="00F9760A" w:rsidRPr="00FA3619" w:rsidRDefault="00F9760A" w:rsidP="003442D8">
            <w:pPr>
              <w:spacing w:after="0" w:line="240" w:lineRule="auto"/>
              <w:rPr>
                <w:rFonts w:ascii="Calibri" w:eastAsia="Times New Roman" w:hAnsi="Calibri" w:cs="Times New Roman"/>
                <w:color w:val="000000"/>
                <w:sz w:val="24"/>
                <w:szCs w:val="24"/>
              </w:rPr>
            </w:pPr>
            <w:r w:rsidRPr="00F9760A">
              <w:rPr>
                <w:rFonts w:ascii="Calibri" w:eastAsia="Times New Roman" w:hAnsi="Calibri" w:cs="Times New Roman"/>
                <w:color w:val="000000"/>
                <w:sz w:val="24"/>
                <w:szCs w:val="24"/>
              </w:rPr>
              <w:t>ostala ulaganja u EU projekt</w:t>
            </w:r>
          </w:p>
        </w:tc>
        <w:tc>
          <w:tcPr>
            <w:tcW w:w="1745" w:type="dxa"/>
            <w:tcBorders>
              <w:top w:val="nil"/>
              <w:left w:val="single" w:sz="4" w:space="0" w:color="auto"/>
              <w:bottom w:val="nil"/>
              <w:right w:val="single" w:sz="4" w:space="0" w:color="auto"/>
            </w:tcBorders>
            <w:shd w:val="clear" w:color="auto" w:fill="auto"/>
          </w:tcPr>
          <w:p w14:paraId="6500F702" w14:textId="6059A0FC" w:rsidR="00F9760A" w:rsidRPr="00FA3619" w:rsidRDefault="00F9760A" w:rsidP="003442D8">
            <w:pPr>
              <w:spacing w:after="0" w:line="240" w:lineRule="auto"/>
              <w:jc w:val="right"/>
              <w:rPr>
                <w:rFonts w:ascii="Calibri" w:eastAsia="Times New Roman" w:hAnsi="Calibri" w:cs="Times New Roman"/>
                <w:color w:val="000000"/>
                <w:sz w:val="24"/>
                <w:szCs w:val="24"/>
              </w:rPr>
            </w:pPr>
            <w:r w:rsidRPr="00F9760A">
              <w:rPr>
                <w:rFonts w:ascii="Calibri" w:eastAsia="Times New Roman" w:hAnsi="Calibri" w:cs="Times New Roman"/>
                <w:color w:val="000000"/>
                <w:sz w:val="24"/>
                <w:szCs w:val="24"/>
              </w:rPr>
              <w:t>15.718.522,93</w:t>
            </w:r>
          </w:p>
        </w:tc>
        <w:tc>
          <w:tcPr>
            <w:tcW w:w="416" w:type="dxa"/>
            <w:tcBorders>
              <w:top w:val="nil"/>
              <w:left w:val="single" w:sz="4" w:space="0" w:color="auto"/>
              <w:bottom w:val="nil"/>
              <w:right w:val="nil"/>
            </w:tcBorders>
            <w:shd w:val="clear" w:color="auto" w:fill="auto"/>
            <w:noWrap/>
            <w:vAlign w:val="bottom"/>
          </w:tcPr>
          <w:p w14:paraId="7110E90E" w14:textId="77777777" w:rsidR="00F9760A" w:rsidRPr="008F425B" w:rsidRDefault="00F9760A" w:rsidP="003442D8">
            <w:pPr>
              <w:spacing w:after="0" w:line="240" w:lineRule="auto"/>
              <w:rPr>
                <w:rFonts w:ascii="Calibri" w:eastAsia="Times New Roman" w:hAnsi="Calibri" w:cs="Times New Roman"/>
                <w:color w:val="000000"/>
              </w:rPr>
            </w:pPr>
          </w:p>
        </w:tc>
      </w:tr>
      <w:tr w:rsidR="0061547C" w:rsidRPr="008F425B" w14:paraId="4FF68917" w14:textId="77777777" w:rsidTr="00437306">
        <w:trPr>
          <w:trHeight w:val="315"/>
        </w:trPr>
        <w:tc>
          <w:tcPr>
            <w:tcW w:w="6535" w:type="dxa"/>
            <w:gridSpan w:val="2"/>
            <w:tcBorders>
              <w:top w:val="nil"/>
              <w:left w:val="nil"/>
              <w:right w:val="nil"/>
            </w:tcBorders>
            <w:shd w:val="clear" w:color="auto" w:fill="auto"/>
            <w:vAlign w:val="center"/>
            <w:hideMark/>
          </w:tcPr>
          <w:p w14:paraId="53B832B1" w14:textId="7A736BE0" w:rsidR="0061547C" w:rsidRPr="00F9760A" w:rsidRDefault="0061547C" w:rsidP="00F9760A">
            <w:pPr>
              <w:spacing w:after="0" w:line="240" w:lineRule="auto"/>
              <w:jc w:val="right"/>
              <w:rPr>
                <w:rFonts w:ascii="Calibri" w:eastAsia="Times New Roman" w:hAnsi="Calibri" w:cs="Times New Roman"/>
                <w:b/>
                <w:bCs/>
                <w:color w:val="000000"/>
                <w:sz w:val="24"/>
                <w:szCs w:val="24"/>
              </w:rPr>
            </w:pPr>
            <w:r w:rsidRPr="00F9760A">
              <w:rPr>
                <w:rFonts w:ascii="Calibri" w:eastAsia="Times New Roman" w:hAnsi="Calibri" w:cs="Times New Roman"/>
                <w:b/>
                <w:bCs/>
                <w:color w:val="000000"/>
                <w:sz w:val="24"/>
                <w:szCs w:val="24"/>
              </w:rPr>
              <w:t>EU projekt</w:t>
            </w:r>
            <w:r w:rsidR="00B11990">
              <w:rPr>
                <w:rFonts w:ascii="Calibri" w:eastAsia="Times New Roman" w:hAnsi="Calibri" w:cs="Times New Roman"/>
                <w:b/>
                <w:bCs/>
                <w:color w:val="000000"/>
                <w:sz w:val="24"/>
                <w:szCs w:val="24"/>
              </w:rPr>
              <w:t xml:space="preserve"> -</w:t>
            </w:r>
            <w:r w:rsidRPr="00F9760A">
              <w:rPr>
                <w:rFonts w:ascii="Calibri" w:eastAsia="Times New Roman" w:hAnsi="Calibri" w:cs="Times New Roman"/>
                <w:b/>
                <w:bCs/>
                <w:color w:val="000000"/>
                <w:sz w:val="24"/>
                <w:szCs w:val="24"/>
              </w:rPr>
              <w:t xml:space="preserve"> ukupno</w:t>
            </w:r>
          </w:p>
        </w:tc>
        <w:tc>
          <w:tcPr>
            <w:tcW w:w="1745" w:type="dxa"/>
            <w:tcBorders>
              <w:top w:val="single" w:sz="4" w:space="0" w:color="auto"/>
              <w:left w:val="nil"/>
              <w:bottom w:val="single" w:sz="4" w:space="0" w:color="auto"/>
              <w:right w:val="nil"/>
            </w:tcBorders>
            <w:shd w:val="clear" w:color="auto" w:fill="auto"/>
            <w:vAlign w:val="center"/>
            <w:hideMark/>
          </w:tcPr>
          <w:p w14:paraId="5C7DA437" w14:textId="0FCE7599" w:rsidR="0061547C" w:rsidRPr="00F9760A" w:rsidRDefault="0061547C" w:rsidP="004F06CA">
            <w:pPr>
              <w:spacing w:after="0" w:line="240" w:lineRule="auto"/>
              <w:jc w:val="right"/>
              <w:rPr>
                <w:rFonts w:ascii="Calibri" w:eastAsia="Times New Roman" w:hAnsi="Calibri" w:cs="Times New Roman"/>
                <w:b/>
                <w:bCs/>
                <w:color w:val="000000"/>
                <w:sz w:val="24"/>
                <w:szCs w:val="24"/>
              </w:rPr>
            </w:pPr>
            <w:bookmarkStart w:id="25" w:name="OLE_LINK3"/>
            <w:r w:rsidRPr="00F9760A">
              <w:rPr>
                <w:rFonts w:ascii="Calibri" w:eastAsia="Times New Roman" w:hAnsi="Calibri" w:cs="Times New Roman"/>
                <w:b/>
                <w:color w:val="000000"/>
                <w:sz w:val="24"/>
                <w:szCs w:val="24"/>
              </w:rPr>
              <w:t>239.184.</w:t>
            </w:r>
            <w:r w:rsidR="00F9760A" w:rsidRPr="00F9760A">
              <w:rPr>
                <w:rFonts w:ascii="Calibri" w:eastAsia="Times New Roman" w:hAnsi="Calibri" w:cs="Times New Roman"/>
                <w:b/>
                <w:color w:val="000000"/>
                <w:sz w:val="24"/>
                <w:szCs w:val="24"/>
              </w:rPr>
              <w:t>209,99</w:t>
            </w:r>
            <w:bookmarkEnd w:id="25"/>
          </w:p>
        </w:tc>
        <w:tc>
          <w:tcPr>
            <w:tcW w:w="416" w:type="dxa"/>
            <w:tcBorders>
              <w:top w:val="nil"/>
              <w:left w:val="nil"/>
              <w:right w:val="nil"/>
            </w:tcBorders>
            <w:shd w:val="clear" w:color="auto" w:fill="auto"/>
            <w:noWrap/>
            <w:vAlign w:val="center"/>
            <w:hideMark/>
          </w:tcPr>
          <w:p w14:paraId="5B11ABBE" w14:textId="77777777" w:rsidR="0061547C" w:rsidRPr="008F425B" w:rsidRDefault="0061547C" w:rsidP="0061547C">
            <w:pPr>
              <w:spacing w:after="0" w:line="240" w:lineRule="auto"/>
              <w:rPr>
                <w:rFonts w:ascii="Calibri" w:eastAsia="Times New Roman" w:hAnsi="Calibri" w:cs="Times New Roman"/>
                <w:b/>
                <w:bCs/>
                <w:color w:val="000000"/>
              </w:rPr>
            </w:pPr>
            <w:r w:rsidRPr="00F9760A">
              <w:rPr>
                <w:rFonts w:ascii="Calibri" w:eastAsia="Times New Roman" w:hAnsi="Calibri" w:cs="Times New Roman"/>
                <w:b/>
                <w:bCs/>
                <w:color w:val="000000"/>
              </w:rPr>
              <w:t>a)</w:t>
            </w:r>
          </w:p>
        </w:tc>
      </w:tr>
      <w:tr w:rsidR="007166DF" w:rsidRPr="008F425B" w14:paraId="0D2CAF9A" w14:textId="77777777" w:rsidTr="00437306">
        <w:trPr>
          <w:gridAfter w:val="2"/>
          <w:wAfter w:w="2161" w:type="dxa"/>
          <w:trHeight w:val="113"/>
        </w:trPr>
        <w:tc>
          <w:tcPr>
            <w:tcW w:w="333" w:type="dxa"/>
            <w:shd w:val="clear" w:color="auto" w:fill="auto"/>
            <w:vAlign w:val="center"/>
          </w:tcPr>
          <w:p w14:paraId="3FF614DE" w14:textId="77777777" w:rsidR="007166DF" w:rsidRPr="008F425B" w:rsidRDefault="007166DF" w:rsidP="003442D8">
            <w:pPr>
              <w:spacing w:after="0" w:line="240" w:lineRule="auto"/>
              <w:jc w:val="center"/>
              <w:rPr>
                <w:rFonts w:ascii="Calibri" w:eastAsia="Times New Roman" w:hAnsi="Calibri" w:cs="Times New Roman"/>
                <w:color w:val="000000"/>
                <w:sz w:val="24"/>
                <w:szCs w:val="24"/>
              </w:rPr>
            </w:pPr>
          </w:p>
        </w:tc>
        <w:tc>
          <w:tcPr>
            <w:tcW w:w="6202" w:type="dxa"/>
            <w:shd w:val="clear" w:color="auto" w:fill="auto"/>
          </w:tcPr>
          <w:p w14:paraId="5E8B567F" w14:textId="77777777" w:rsidR="007166DF" w:rsidRPr="008F425B" w:rsidRDefault="007166DF" w:rsidP="003442D8">
            <w:pPr>
              <w:spacing w:after="0" w:line="240" w:lineRule="auto"/>
              <w:rPr>
                <w:rFonts w:ascii="Calibri" w:eastAsia="Times New Roman" w:hAnsi="Calibri" w:cs="Times New Roman"/>
                <w:color w:val="000000"/>
                <w:sz w:val="24"/>
                <w:szCs w:val="24"/>
              </w:rPr>
            </w:pPr>
          </w:p>
        </w:tc>
      </w:tr>
      <w:tr w:rsidR="003442D8" w:rsidRPr="008F425B" w14:paraId="25328D63" w14:textId="77777777" w:rsidTr="00437306">
        <w:trPr>
          <w:trHeight w:val="284"/>
        </w:trPr>
        <w:tc>
          <w:tcPr>
            <w:tcW w:w="333" w:type="dxa"/>
            <w:shd w:val="clear" w:color="auto" w:fill="auto"/>
            <w:hideMark/>
          </w:tcPr>
          <w:p w14:paraId="065966B7" w14:textId="77777777" w:rsidR="003442D8" w:rsidRPr="008F425B" w:rsidRDefault="003442D8" w:rsidP="003442D8">
            <w:pPr>
              <w:spacing w:after="0" w:line="240" w:lineRule="auto"/>
              <w:jc w:val="center"/>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w:t>
            </w:r>
          </w:p>
        </w:tc>
        <w:tc>
          <w:tcPr>
            <w:tcW w:w="6202" w:type="dxa"/>
            <w:tcBorders>
              <w:right w:val="single" w:sz="4" w:space="0" w:color="auto"/>
            </w:tcBorders>
            <w:shd w:val="clear" w:color="auto" w:fill="auto"/>
            <w:hideMark/>
          </w:tcPr>
          <w:p w14:paraId="2EC61DB3" w14:textId="4BC2202A" w:rsidR="003442D8" w:rsidRPr="008F425B" w:rsidRDefault="00437306" w:rsidP="003442D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w:t>
            </w:r>
            <w:r w:rsidR="003442D8" w:rsidRPr="008F425B">
              <w:rPr>
                <w:rFonts w:ascii="Calibri" w:eastAsia="Times New Roman" w:hAnsi="Calibri" w:cs="Times New Roman"/>
                <w:color w:val="000000"/>
                <w:sz w:val="24"/>
                <w:szCs w:val="24"/>
              </w:rPr>
              <w:t>analizacij</w:t>
            </w:r>
            <w:r>
              <w:rPr>
                <w:rFonts w:ascii="Calibri" w:eastAsia="Times New Roman" w:hAnsi="Calibri" w:cs="Times New Roman"/>
                <w:color w:val="000000"/>
                <w:sz w:val="24"/>
                <w:szCs w:val="24"/>
              </w:rPr>
              <w:t>a</w:t>
            </w:r>
            <w:r w:rsidR="003442D8" w:rsidRPr="008F425B">
              <w:rPr>
                <w:rFonts w:ascii="Calibri" w:eastAsia="Times New Roman" w:hAnsi="Calibri" w:cs="Times New Roman"/>
                <w:color w:val="000000"/>
                <w:sz w:val="24"/>
                <w:szCs w:val="24"/>
              </w:rPr>
              <w:t xml:space="preserve"> priobalja Dobrinjštine s podmorskim ispustom</w:t>
            </w:r>
          </w:p>
        </w:tc>
        <w:tc>
          <w:tcPr>
            <w:tcW w:w="1745" w:type="dxa"/>
            <w:tcBorders>
              <w:top w:val="single" w:sz="4" w:space="0" w:color="auto"/>
              <w:left w:val="single" w:sz="4" w:space="0" w:color="auto"/>
              <w:right w:val="single" w:sz="4" w:space="0" w:color="auto"/>
            </w:tcBorders>
            <w:shd w:val="clear" w:color="auto" w:fill="auto"/>
            <w:hideMark/>
          </w:tcPr>
          <w:p w14:paraId="016E1DBE" w14:textId="46505463" w:rsidR="003442D8" w:rsidRPr="008F425B" w:rsidRDefault="007166DF" w:rsidP="003442D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17.676.525,71</w:t>
            </w:r>
          </w:p>
        </w:tc>
        <w:tc>
          <w:tcPr>
            <w:tcW w:w="416" w:type="dxa"/>
            <w:tcBorders>
              <w:left w:val="single" w:sz="4" w:space="0" w:color="auto"/>
            </w:tcBorders>
            <w:shd w:val="clear" w:color="auto" w:fill="auto"/>
            <w:noWrap/>
            <w:vAlign w:val="bottom"/>
            <w:hideMark/>
          </w:tcPr>
          <w:p w14:paraId="7877C0F6" w14:textId="77777777" w:rsidR="003442D8" w:rsidRPr="008F425B" w:rsidRDefault="003442D8" w:rsidP="003442D8">
            <w:pPr>
              <w:spacing w:after="0" w:line="240" w:lineRule="auto"/>
              <w:rPr>
                <w:rFonts w:ascii="Calibri" w:eastAsia="Times New Roman" w:hAnsi="Calibri" w:cs="Times New Roman"/>
                <w:color w:val="000000"/>
              </w:rPr>
            </w:pPr>
          </w:p>
        </w:tc>
      </w:tr>
      <w:tr w:rsidR="003442D8" w:rsidRPr="008F425B" w14:paraId="1144FF93" w14:textId="77777777" w:rsidTr="00437306">
        <w:trPr>
          <w:trHeight w:val="284"/>
        </w:trPr>
        <w:tc>
          <w:tcPr>
            <w:tcW w:w="333" w:type="dxa"/>
            <w:shd w:val="clear" w:color="auto" w:fill="auto"/>
            <w:hideMark/>
          </w:tcPr>
          <w:p w14:paraId="1F66E343" w14:textId="77777777" w:rsidR="003442D8" w:rsidRPr="008F425B" w:rsidRDefault="003442D8" w:rsidP="003442D8">
            <w:pPr>
              <w:spacing w:after="0" w:line="240" w:lineRule="auto"/>
              <w:jc w:val="center"/>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w:t>
            </w:r>
          </w:p>
        </w:tc>
        <w:tc>
          <w:tcPr>
            <w:tcW w:w="6202" w:type="dxa"/>
            <w:tcBorders>
              <w:right w:val="single" w:sz="4" w:space="0" w:color="auto"/>
            </w:tcBorders>
            <w:shd w:val="clear" w:color="auto" w:fill="auto"/>
            <w:hideMark/>
          </w:tcPr>
          <w:p w14:paraId="49294214" w14:textId="77777777" w:rsidR="003442D8" w:rsidRPr="008F425B" w:rsidRDefault="005E0EA8" w:rsidP="003442D8">
            <w:pPr>
              <w:spacing w:after="0" w:line="240" w:lineRule="auto"/>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p</w:t>
            </w:r>
            <w:r w:rsidR="003442D8" w:rsidRPr="008F425B">
              <w:rPr>
                <w:rFonts w:ascii="Calibri" w:eastAsia="Times New Roman" w:hAnsi="Calibri" w:cs="Times New Roman"/>
                <w:color w:val="000000"/>
                <w:sz w:val="24"/>
                <w:szCs w:val="24"/>
              </w:rPr>
              <w:t>rojekt akumulacije Ponikve II faza</w:t>
            </w:r>
          </w:p>
        </w:tc>
        <w:tc>
          <w:tcPr>
            <w:tcW w:w="1745" w:type="dxa"/>
            <w:tcBorders>
              <w:left w:val="single" w:sz="4" w:space="0" w:color="auto"/>
              <w:right w:val="single" w:sz="4" w:space="0" w:color="auto"/>
            </w:tcBorders>
            <w:shd w:val="clear" w:color="auto" w:fill="auto"/>
          </w:tcPr>
          <w:p w14:paraId="4ED8D0B5" w14:textId="4F5826F2" w:rsidR="003442D8" w:rsidRPr="008F425B" w:rsidRDefault="00AD40DD" w:rsidP="003442D8">
            <w:pPr>
              <w:spacing w:after="0" w:line="240" w:lineRule="auto"/>
              <w:jc w:val="right"/>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8.</w:t>
            </w:r>
            <w:r w:rsidR="00DA404D">
              <w:rPr>
                <w:rFonts w:ascii="Calibri" w:eastAsia="Times New Roman" w:hAnsi="Calibri" w:cs="Times New Roman"/>
                <w:color w:val="000000"/>
                <w:sz w:val="24"/>
                <w:szCs w:val="24"/>
              </w:rPr>
              <w:t>587</w:t>
            </w:r>
            <w:r w:rsidRPr="008F425B">
              <w:rPr>
                <w:rFonts w:ascii="Calibri" w:eastAsia="Times New Roman" w:hAnsi="Calibri" w:cs="Times New Roman"/>
                <w:color w:val="000000"/>
                <w:sz w:val="24"/>
                <w:szCs w:val="24"/>
              </w:rPr>
              <w:t>.2</w:t>
            </w:r>
            <w:r w:rsidR="00DA404D">
              <w:rPr>
                <w:rFonts w:ascii="Calibri" w:eastAsia="Times New Roman" w:hAnsi="Calibri" w:cs="Times New Roman"/>
                <w:color w:val="000000"/>
                <w:sz w:val="24"/>
                <w:szCs w:val="24"/>
              </w:rPr>
              <w:t>0</w:t>
            </w:r>
            <w:r w:rsidRPr="008F425B">
              <w:rPr>
                <w:rFonts w:ascii="Calibri" w:eastAsia="Times New Roman" w:hAnsi="Calibri" w:cs="Times New Roman"/>
                <w:color w:val="000000"/>
                <w:sz w:val="24"/>
                <w:szCs w:val="24"/>
              </w:rPr>
              <w:t>0,54</w:t>
            </w:r>
          </w:p>
        </w:tc>
        <w:tc>
          <w:tcPr>
            <w:tcW w:w="416" w:type="dxa"/>
            <w:tcBorders>
              <w:left w:val="single" w:sz="4" w:space="0" w:color="auto"/>
            </w:tcBorders>
            <w:shd w:val="clear" w:color="auto" w:fill="auto"/>
            <w:noWrap/>
            <w:vAlign w:val="bottom"/>
            <w:hideMark/>
          </w:tcPr>
          <w:p w14:paraId="6ECB889E" w14:textId="77777777" w:rsidR="003442D8" w:rsidRPr="008F425B" w:rsidRDefault="003442D8" w:rsidP="003442D8">
            <w:pPr>
              <w:spacing w:after="0" w:line="240" w:lineRule="auto"/>
              <w:rPr>
                <w:rFonts w:ascii="Calibri" w:eastAsia="Times New Roman" w:hAnsi="Calibri" w:cs="Times New Roman"/>
                <w:color w:val="000000"/>
              </w:rPr>
            </w:pPr>
          </w:p>
        </w:tc>
      </w:tr>
      <w:tr w:rsidR="003442D8" w:rsidRPr="008F425B" w14:paraId="400A0D73" w14:textId="77777777" w:rsidTr="00437306">
        <w:trPr>
          <w:trHeight w:val="284"/>
        </w:trPr>
        <w:tc>
          <w:tcPr>
            <w:tcW w:w="333" w:type="dxa"/>
            <w:shd w:val="clear" w:color="auto" w:fill="auto"/>
            <w:hideMark/>
          </w:tcPr>
          <w:p w14:paraId="1F0D6CB7" w14:textId="77777777" w:rsidR="003442D8" w:rsidRPr="008F425B" w:rsidRDefault="003442D8" w:rsidP="003442D8">
            <w:pPr>
              <w:spacing w:after="0" w:line="240" w:lineRule="auto"/>
              <w:jc w:val="center"/>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w:t>
            </w:r>
          </w:p>
        </w:tc>
        <w:tc>
          <w:tcPr>
            <w:tcW w:w="6202" w:type="dxa"/>
            <w:tcBorders>
              <w:right w:val="single" w:sz="4" w:space="0" w:color="auto"/>
            </w:tcBorders>
            <w:shd w:val="clear" w:color="auto" w:fill="auto"/>
            <w:hideMark/>
          </w:tcPr>
          <w:p w14:paraId="611078CD" w14:textId="62C843D6" w:rsidR="003442D8" w:rsidRPr="008F425B" w:rsidRDefault="005E0EA8" w:rsidP="003442D8">
            <w:pPr>
              <w:spacing w:after="0" w:line="240" w:lineRule="auto"/>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r</w:t>
            </w:r>
            <w:r w:rsidR="003442D8" w:rsidRPr="008F425B">
              <w:rPr>
                <w:rFonts w:ascii="Calibri" w:eastAsia="Times New Roman" w:hAnsi="Calibri" w:cs="Times New Roman"/>
                <w:color w:val="000000"/>
                <w:sz w:val="24"/>
                <w:szCs w:val="24"/>
              </w:rPr>
              <w:t>ekonstrukcije transportnih cjevovoda</w:t>
            </w:r>
          </w:p>
        </w:tc>
        <w:tc>
          <w:tcPr>
            <w:tcW w:w="1745" w:type="dxa"/>
            <w:tcBorders>
              <w:left w:val="single" w:sz="4" w:space="0" w:color="auto"/>
              <w:right w:val="single" w:sz="4" w:space="0" w:color="auto"/>
            </w:tcBorders>
            <w:shd w:val="clear" w:color="auto" w:fill="auto"/>
          </w:tcPr>
          <w:p w14:paraId="4FF745E2" w14:textId="61BFAD6A" w:rsidR="003442D8" w:rsidRPr="008F425B" w:rsidRDefault="00C81208" w:rsidP="003442D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596.087,56</w:t>
            </w:r>
          </w:p>
        </w:tc>
        <w:tc>
          <w:tcPr>
            <w:tcW w:w="416" w:type="dxa"/>
            <w:tcBorders>
              <w:left w:val="single" w:sz="4" w:space="0" w:color="auto"/>
            </w:tcBorders>
            <w:shd w:val="clear" w:color="auto" w:fill="auto"/>
            <w:noWrap/>
            <w:vAlign w:val="bottom"/>
            <w:hideMark/>
          </w:tcPr>
          <w:p w14:paraId="5C40E124" w14:textId="77777777" w:rsidR="003442D8" w:rsidRPr="008F425B" w:rsidRDefault="003442D8" w:rsidP="003442D8">
            <w:pPr>
              <w:spacing w:after="0" w:line="240" w:lineRule="auto"/>
              <w:rPr>
                <w:rFonts w:ascii="Calibri" w:eastAsia="Times New Roman" w:hAnsi="Calibri" w:cs="Times New Roman"/>
                <w:color w:val="000000"/>
              </w:rPr>
            </w:pPr>
          </w:p>
        </w:tc>
      </w:tr>
      <w:tr w:rsidR="003442D8" w:rsidRPr="008F425B" w14:paraId="0DCDE9AC" w14:textId="77777777" w:rsidTr="00437306">
        <w:trPr>
          <w:trHeight w:val="284"/>
        </w:trPr>
        <w:tc>
          <w:tcPr>
            <w:tcW w:w="333" w:type="dxa"/>
            <w:shd w:val="clear" w:color="auto" w:fill="auto"/>
            <w:hideMark/>
          </w:tcPr>
          <w:p w14:paraId="5CB2D9C7" w14:textId="77777777" w:rsidR="003442D8" w:rsidRPr="008F425B" w:rsidRDefault="003442D8" w:rsidP="003442D8">
            <w:pPr>
              <w:spacing w:after="0" w:line="240" w:lineRule="auto"/>
              <w:jc w:val="center"/>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w:t>
            </w:r>
          </w:p>
        </w:tc>
        <w:tc>
          <w:tcPr>
            <w:tcW w:w="6202" w:type="dxa"/>
            <w:tcBorders>
              <w:right w:val="single" w:sz="4" w:space="0" w:color="auto"/>
            </w:tcBorders>
            <w:shd w:val="clear" w:color="auto" w:fill="auto"/>
            <w:hideMark/>
          </w:tcPr>
          <w:p w14:paraId="53499980" w14:textId="77777777" w:rsidR="00DA404D" w:rsidRDefault="005E0EA8" w:rsidP="00DA404D">
            <w:pPr>
              <w:spacing w:after="0" w:line="240" w:lineRule="auto"/>
              <w:rPr>
                <w:rFonts w:ascii="Calibri" w:eastAsia="Times New Roman" w:hAnsi="Calibri" w:cs="Times New Roman"/>
                <w:color w:val="000000"/>
                <w:sz w:val="24"/>
                <w:szCs w:val="24"/>
              </w:rPr>
            </w:pPr>
            <w:r w:rsidRPr="008F425B">
              <w:rPr>
                <w:rFonts w:ascii="Calibri" w:eastAsia="Times New Roman" w:hAnsi="Calibri" w:cs="Times New Roman"/>
                <w:color w:val="000000"/>
                <w:sz w:val="24"/>
                <w:szCs w:val="24"/>
              </w:rPr>
              <w:t>i</w:t>
            </w:r>
            <w:r w:rsidR="003442D8" w:rsidRPr="008F425B">
              <w:rPr>
                <w:rFonts w:ascii="Calibri" w:eastAsia="Times New Roman" w:hAnsi="Calibri" w:cs="Times New Roman"/>
                <w:color w:val="000000"/>
                <w:sz w:val="24"/>
                <w:szCs w:val="24"/>
              </w:rPr>
              <w:t>dejni projekt kanalizacije Vrbnik</w:t>
            </w:r>
          </w:p>
          <w:p w14:paraId="5459A1CD" w14:textId="4CCC4395" w:rsidR="00C81208" w:rsidRPr="008F425B" w:rsidRDefault="00C81208" w:rsidP="00DA404D">
            <w:pPr>
              <w:spacing w:after="0" w:line="240" w:lineRule="auto"/>
              <w:rPr>
                <w:rFonts w:ascii="Calibri" w:eastAsia="Times New Roman" w:hAnsi="Calibri" w:cs="Times New Roman"/>
                <w:color w:val="000000"/>
                <w:sz w:val="24"/>
                <w:szCs w:val="24"/>
              </w:rPr>
            </w:pPr>
          </w:p>
        </w:tc>
        <w:tc>
          <w:tcPr>
            <w:tcW w:w="1745" w:type="dxa"/>
            <w:tcBorders>
              <w:left w:val="single" w:sz="4" w:space="0" w:color="auto"/>
              <w:right w:val="single" w:sz="4" w:space="0" w:color="auto"/>
            </w:tcBorders>
            <w:shd w:val="clear" w:color="auto" w:fill="auto"/>
          </w:tcPr>
          <w:p w14:paraId="0DA10EA4" w14:textId="28FDC405" w:rsidR="00DA404D" w:rsidRPr="008F425B" w:rsidRDefault="00DA404D" w:rsidP="00DA404D">
            <w:pPr>
              <w:spacing w:after="0" w:line="240" w:lineRule="auto"/>
              <w:jc w:val="right"/>
              <w:rPr>
                <w:rFonts w:ascii="Calibri" w:eastAsia="Times New Roman" w:hAnsi="Calibri" w:cs="Times New Roman"/>
                <w:color w:val="000000"/>
                <w:sz w:val="24"/>
                <w:szCs w:val="24"/>
              </w:rPr>
            </w:pPr>
            <w:r w:rsidRPr="00C81208">
              <w:rPr>
                <w:rFonts w:ascii="Calibri" w:eastAsia="Times New Roman" w:hAnsi="Calibri" w:cs="Times New Roman"/>
                <w:color w:val="000000"/>
                <w:sz w:val="24"/>
                <w:szCs w:val="24"/>
              </w:rPr>
              <w:t>454.447,29</w:t>
            </w:r>
          </w:p>
        </w:tc>
        <w:tc>
          <w:tcPr>
            <w:tcW w:w="416" w:type="dxa"/>
            <w:tcBorders>
              <w:left w:val="single" w:sz="4" w:space="0" w:color="auto"/>
            </w:tcBorders>
            <w:shd w:val="clear" w:color="auto" w:fill="auto"/>
            <w:noWrap/>
            <w:vAlign w:val="bottom"/>
            <w:hideMark/>
          </w:tcPr>
          <w:p w14:paraId="76BB62E5" w14:textId="77777777" w:rsidR="003442D8" w:rsidRPr="008F425B" w:rsidRDefault="003442D8" w:rsidP="003442D8">
            <w:pPr>
              <w:spacing w:after="0" w:line="240" w:lineRule="auto"/>
              <w:rPr>
                <w:rFonts w:ascii="Calibri" w:eastAsia="Times New Roman" w:hAnsi="Calibri" w:cs="Times New Roman"/>
                <w:color w:val="000000"/>
              </w:rPr>
            </w:pPr>
          </w:p>
        </w:tc>
      </w:tr>
      <w:tr w:rsidR="00B11990" w:rsidRPr="008F425B" w14:paraId="3411A4DC" w14:textId="77777777" w:rsidTr="00437306">
        <w:trPr>
          <w:trHeight w:val="284"/>
        </w:trPr>
        <w:tc>
          <w:tcPr>
            <w:tcW w:w="333" w:type="dxa"/>
            <w:shd w:val="clear" w:color="auto" w:fill="auto"/>
          </w:tcPr>
          <w:p w14:paraId="48BDDA52" w14:textId="3CFC2EF8" w:rsidR="00B11990" w:rsidRPr="008F425B" w:rsidRDefault="00B11990" w:rsidP="003442D8">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p>
        </w:tc>
        <w:tc>
          <w:tcPr>
            <w:tcW w:w="6202" w:type="dxa"/>
            <w:tcBorders>
              <w:right w:val="single" w:sz="4" w:space="0" w:color="auto"/>
            </w:tcBorders>
            <w:shd w:val="clear" w:color="auto" w:fill="auto"/>
          </w:tcPr>
          <w:p w14:paraId="366D4D04" w14:textId="78E3DB57" w:rsidR="00B11990" w:rsidRPr="008F425B" w:rsidRDefault="00B11990" w:rsidP="00DA404D">
            <w:pPr>
              <w:spacing w:after="0" w:line="240" w:lineRule="auto"/>
              <w:rPr>
                <w:rFonts w:ascii="Calibri" w:eastAsia="Times New Roman" w:hAnsi="Calibri" w:cs="Times New Roman"/>
                <w:color w:val="000000"/>
                <w:sz w:val="24"/>
                <w:szCs w:val="24"/>
              </w:rPr>
            </w:pPr>
            <w:r w:rsidRPr="00B11990">
              <w:rPr>
                <w:rFonts w:cstheme="minorHAnsi"/>
                <w:sz w:val="24"/>
                <w:szCs w:val="24"/>
              </w:rPr>
              <w:t>projektna dokum</w:t>
            </w:r>
            <w:r w:rsidR="00437306">
              <w:rPr>
                <w:rFonts w:cstheme="minorHAnsi"/>
                <w:sz w:val="24"/>
                <w:szCs w:val="24"/>
              </w:rPr>
              <w:t>entacija</w:t>
            </w:r>
            <w:r w:rsidRPr="00B11990">
              <w:rPr>
                <w:rFonts w:cstheme="minorHAnsi"/>
                <w:sz w:val="24"/>
                <w:szCs w:val="24"/>
              </w:rPr>
              <w:t xml:space="preserve"> </w:t>
            </w:r>
            <w:r w:rsidR="00437306">
              <w:rPr>
                <w:rFonts w:cstheme="minorHAnsi"/>
                <w:sz w:val="24"/>
                <w:szCs w:val="24"/>
              </w:rPr>
              <w:t>kanalizacije S</w:t>
            </w:r>
            <w:r w:rsidRPr="00B11990">
              <w:rPr>
                <w:rFonts w:cstheme="minorHAnsi"/>
                <w:sz w:val="24"/>
                <w:szCs w:val="24"/>
              </w:rPr>
              <w:t>alatić,</w:t>
            </w:r>
            <w:r w:rsidR="00437306">
              <w:rPr>
                <w:rFonts w:cstheme="minorHAnsi"/>
                <w:sz w:val="24"/>
                <w:szCs w:val="24"/>
              </w:rPr>
              <w:t xml:space="preserve"> Kosić, Vrh</w:t>
            </w:r>
          </w:p>
        </w:tc>
        <w:tc>
          <w:tcPr>
            <w:tcW w:w="1745" w:type="dxa"/>
            <w:tcBorders>
              <w:left w:val="single" w:sz="4" w:space="0" w:color="auto"/>
              <w:right w:val="single" w:sz="4" w:space="0" w:color="auto"/>
            </w:tcBorders>
            <w:shd w:val="clear" w:color="auto" w:fill="auto"/>
          </w:tcPr>
          <w:p w14:paraId="1A30590A" w14:textId="2F6E7E9E" w:rsidR="00B11990" w:rsidRPr="00C81208" w:rsidRDefault="00B11990" w:rsidP="00DA404D">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117.810,00</w:t>
            </w:r>
          </w:p>
        </w:tc>
        <w:tc>
          <w:tcPr>
            <w:tcW w:w="416" w:type="dxa"/>
            <w:tcBorders>
              <w:left w:val="single" w:sz="4" w:space="0" w:color="auto"/>
            </w:tcBorders>
            <w:shd w:val="clear" w:color="auto" w:fill="auto"/>
            <w:noWrap/>
            <w:vAlign w:val="bottom"/>
          </w:tcPr>
          <w:p w14:paraId="4BD48C27" w14:textId="77777777" w:rsidR="00B11990" w:rsidRPr="008F425B" w:rsidRDefault="00B11990" w:rsidP="003442D8">
            <w:pPr>
              <w:spacing w:after="0" w:line="240" w:lineRule="auto"/>
              <w:rPr>
                <w:rFonts w:ascii="Calibri" w:eastAsia="Times New Roman" w:hAnsi="Calibri" w:cs="Times New Roman"/>
                <w:color w:val="000000"/>
              </w:rPr>
            </w:pPr>
          </w:p>
        </w:tc>
      </w:tr>
      <w:tr w:rsidR="00B11990" w:rsidRPr="008F425B" w14:paraId="6546E121" w14:textId="77777777" w:rsidTr="00437306">
        <w:trPr>
          <w:trHeight w:val="284"/>
        </w:trPr>
        <w:tc>
          <w:tcPr>
            <w:tcW w:w="333" w:type="dxa"/>
            <w:shd w:val="clear" w:color="auto" w:fill="auto"/>
          </w:tcPr>
          <w:p w14:paraId="318F2460" w14:textId="31A2A315" w:rsidR="00B11990" w:rsidRPr="008F425B" w:rsidRDefault="00B11990" w:rsidP="003442D8">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p>
        </w:tc>
        <w:tc>
          <w:tcPr>
            <w:tcW w:w="6202" w:type="dxa"/>
            <w:tcBorders>
              <w:right w:val="single" w:sz="4" w:space="0" w:color="auto"/>
            </w:tcBorders>
            <w:shd w:val="clear" w:color="auto" w:fill="auto"/>
          </w:tcPr>
          <w:p w14:paraId="5B7342A0" w14:textId="31017920" w:rsidR="00B11990" w:rsidRPr="008F425B" w:rsidRDefault="00437306" w:rsidP="00DA404D">
            <w:pPr>
              <w:spacing w:after="0" w:line="240" w:lineRule="auto"/>
              <w:rPr>
                <w:rFonts w:ascii="Calibri" w:eastAsia="Times New Roman" w:hAnsi="Calibri" w:cs="Times New Roman"/>
                <w:color w:val="000000"/>
                <w:sz w:val="24"/>
                <w:szCs w:val="24"/>
              </w:rPr>
            </w:pPr>
            <w:r>
              <w:rPr>
                <w:rFonts w:cstheme="minorHAnsi"/>
                <w:sz w:val="24"/>
                <w:szCs w:val="24"/>
              </w:rPr>
              <w:t>e</w:t>
            </w:r>
            <w:r w:rsidR="00B11990" w:rsidRPr="00B11990">
              <w:rPr>
                <w:rFonts w:cstheme="minorHAnsi"/>
                <w:sz w:val="24"/>
                <w:szCs w:val="24"/>
              </w:rPr>
              <w:t>l</w:t>
            </w:r>
            <w:r>
              <w:rPr>
                <w:rFonts w:cstheme="minorHAnsi"/>
                <w:sz w:val="24"/>
                <w:szCs w:val="24"/>
              </w:rPr>
              <w:t xml:space="preserve">ektro </w:t>
            </w:r>
            <w:r w:rsidR="00B11990" w:rsidRPr="00B11990">
              <w:rPr>
                <w:rFonts w:cstheme="minorHAnsi"/>
                <w:sz w:val="24"/>
                <w:szCs w:val="24"/>
              </w:rPr>
              <w:t xml:space="preserve">ormar za </w:t>
            </w:r>
            <w:r>
              <w:rPr>
                <w:rFonts w:cstheme="minorHAnsi"/>
                <w:sz w:val="24"/>
                <w:szCs w:val="24"/>
              </w:rPr>
              <w:t>UPOV</w:t>
            </w:r>
            <w:r w:rsidR="00B11990" w:rsidRPr="00B11990">
              <w:rPr>
                <w:rFonts w:cstheme="minorHAnsi"/>
                <w:sz w:val="24"/>
                <w:szCs w:val="24"/>
              </w:rPr>
              <w:t xml:space="preserve"> Ćuf</w:t>
            </w:r>
          </w:p>
        </w:tc>
        <w:tc>
          <w:tcPr>
            <w:tcW w:w="1745" w:type="dxa"/>
            <w:tcBorders>
              <w:left w:val="single" w:sz="4" w:space="0" w:color="auto"/>
              <w:right w:val="single" w:sz="4" w:space="0" w:color="auto"/>
            </w:tcBorders>
            <w:shd w:val="clear" w:color="auto" w:fill="auto"/>
          </w:tcPr>
          <w:p w14:paraId="6FCFE677" w14:textId="20A8953D" w:rsidR="00B11990" w:rsidRPr="00C81208" w:rsidRDefault="00B11990" w:rsidP="00DA404D">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12.400,00</w:t>
            </w:r>
          </w:p>
        </w:tc>
        <w:tc>
          <w:tcPr>
            <w:tcW w:w="416" w:type="dxa"/>
            <w:tcBorders>
              <w:left w:val="single" w:sz="4" w:space="0" w:color="auto"/>
            </w:tcBorders>
            <w:shd w:val="clear" w:color="auto" w:fill="auto"/>
            <w:noWrap/>
            <w:vAlign w:val="bottom"/>
          </w:tcPr>
          <w:p w14:paraId="15C9441E" w14:textId="77777777" w:rsidR="00B11990" w:rsidRPr="008F425B" w:rsidRDefault="00B11990" w:rsidP="003442D8">
            <w:pPr>
              <w:spacing w:after="0" w:line="240" w:lineRule="auto"/>
              <w:rPr>
                <w:rFonts w:ascii="Calibri" w:eastAsia="Times New Roman" w:hAnsi="Calibri" w:cs="Times New Roman"/>
                <w:color w:val="000000"/>
              </w:rPr>
            </w:pPr>
          </w:p>
        </w:tc>
      </w:tr>
      <w:tr w:rsidR="0061547C" w:rsidRPr="008F425B" w14:paraId="1C52A114" w14:textId="77777777" w:rsidTr="00437306">
        <w:trPr>
          <w:trHeight w:val="369"/>
        </w:trPr>
        <w:tc>
          <w:tcPr>
            <w:tcW w:w="6535" w:type="dxa"/>
            <w:gridSpan w:val="2"/>
            <w:shd w:val="clear" w:color="auto" w:fill="auto"/>
            <w:vAlign w:val="center"/>
          </w:tcPr>
          <w:p w14:paraId="692FF96C" w14:textId="1106C4F3" w:rsidR="0061547C" w:rsidRPr="008F425B" w:rsidRDefault="0061547C" w:rsidP="00B11990">
            <w:pPr>
              <w:spacing w:after="0" w:line="240" w:lineRule="auto"/>
              <w:jc w:val="right"/>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Ostala ulaganja – ukupno</w:t>
            </w:r>
          </w:p>
        </w:tc>
        <w:tc>
          <w:tcPr>
            <w:tcW w:w="1745" w:type="dxa"/>
            <w:tcBorders>
              <w:top w:val="single" w:sz="4" w:space="0" w:color="auto"/>
              <w:bottom w:val="single" w:sz="4" w:space="0" w:color="auto"/>
            </w:tcBorders>
            <w:shd w:val="clear" w:color="auto" w:fill="auto"/>
            <w:vAlign w:val="center"/>
          </w:tcPr>
          <w:p w14:paraId="7080809E" w14:textId="34B9597E" w:rsidR="0061547C" w:rsidRPr="008F425B" w:rsidRDefault="00B11990" w:rsidP="00B11990">
            <w:pPr>
              <w:spacing w:after="0" w:line="240" w:lineRule="auto"/>
              <w:jc w:val="right"/>
              <w:rPr>
                <w:rFonts w:ascii="Calibri" w:eastAsia="Times New Roman" w:hAnsi="Calibri" w:cs="Times New Roman"/>
                <w:b/>
                <w:color w:val="000000"/>
                <w:sz w:val="24"/>
                <w:szCs w:val="24"/>
              </w:rPr>
            </w:pPr>
            <w:r w:rsidRPr="00B11990">
              <w:rPr>
                <w:rFonts w:ascii="Calibri" w:eastAsia="Times New Roman" w:hAnsi="Calibri" w:cs="Times New Roman"/>
                <w:b/>
                <w:color w:val="000000"/>
                <w:sz w:val="24"/>
                <w:szCs w:val="24"/>
              </w:rPr>
              <w:t>27.444.471,10</w:t>
            </w:r>
          </w:p>
        </w:tc>
        <w:tc>
          <w:tcPr>
            <w:tcW w:w="416" w:type="dxa"/>
            <w:shd w:val="clear" w:color="auto" w:fill="auto"/>
            <w:noWrap/>
            <w:vAlign w:val="center"/>
          </w:tcPr>
          <w:p w14:paraId="0CD32C2E" w14:textId="590CF720" w:rsidR="0061547C" w:rsidRPr="008F425B" w:rsidRDefault="0061547C" w:rsidP="00264A2F">
            <w:pPr>
              <w:spacing w:after="0" w:line="240" w:lineRule="auto"/>
              <w:rPr>
                <w:rFonts w:ascii="Calibri" w:eastAsia="Times New Roman" w:hAnsi="Calibri" w:cs="Times New Roman"/>
                <w:b/>
                <w:color w:val="000000"/>
              </w:rPr>
            </w:pPr>
            <w:r>
              <w:rPr>
                <w:rFonts w:ascii="Calibri" w:eastAsia="Times New Roman" w:hAnsi="Calibri" w:cs="Times New Roman"/>
                <w:b/>
                <w:color w:val="000000"/>
              </w:rPr>
              <w:t>b)</w:t>
            </w:r>
          </w:p>
        </w:tc>
      </w:tr>
    </w:tbl>
    <w:p w14:paraId="6CBAC097" w14:textId="59879CCC" w:rsidR="00883749" w:rsidRDefault="00883749" w:rsidP="00F72DC0">
      <w:pPr>
        <w:numPr>
          <w:ilvl w:val="0"/>
          <w:numId w:val="9"/>
        </w:numPr>
        <w:spacing w:after="0" w:line="240" w:lineRule="auto"/>
        <w:ind w:left="426" w:right="92" w:hanging="426"/>
        <w:contextualSpacing/>
        <w:jc w:val="both"/>
        <w:rPr>
          <w:rFonts w:ascii="Calibri" w:eastAsia="Times New Roman" w:hAnsi="Calibri" w:cs="Times New Roman"/>
          <w:bCs/>
          <w:iCs/>
          <w:sz w:val="24"/>
          <w:szCs w:val="24"/>
        </w:rPr>
      </w:pPr>
      <w:r>
        <w:rPr>
          <w:rFonts w:ascii="Calibri" w:eastAsia="Times New Roman" w:hAnsi="Calibri" w:cs="Times New Roman"/>
          <w:bCs/>
          <w:iCs/>
          <w:sz w:val="24"/>
          <w:szCs w:val="24"/>
        </w:rPr>
        <w:lastRenderedPageBreak/>
        <w:t>EU projekt:</w:t>
      </w:r>
    </w:p>
    <w:p w14:paraId="42972283" w14:textId="77777777" w:rsidR="00883749" w:rsidRPr="00883749" w:rsidRDefault="00883749" w:rsidP="00883749">
      <w:pPr>
        <w:spacing w:after="0" w:line="240" w:lineRule="auto"/>
        <w:ind w:left="426" w:right="92"/>
        <w:contextualSpacing/>
        <w:jc w:val="both"/>
        <w:rPr>
          <w:rFonts w:ascii="Calibri" w:eastAsia="Times New Roman" w:hAnsi="Calibri" w:cs="Times New Roman"/>
          <w:bCs/>
          <w:iCs/>
          <w:sz w:val="24"/>
          <w:szCs w:val="24"/>
        </w:rPr>
      </w:pPr>
    </w:p>
    <w:p w14:paraId="2D8AC702" w14:textId="2F7382C3" w:rsidR="000D568F" w:rsidRDefault="008461AF" w:rsidP="00883749">
      <w:pPr>
        <w:spacing w:after="0" w:line="240" w:lineRule="auto"/>
        <w:ind w:right="92"/>
        <w:contextualSpacing/>
        <w:jc w:val="both"/>
        <w:rPr>
          <w:rFonts w:ascii="Calibri" w:eastAsia="Times New Roman" w:hAnsi="Calibri" w:cs="Times New Roman"/>
          <w:sz w:val="24"/>
          <w:szCs w:val="24"/>
        </w:rPr>
      </w:pPr>
      <w:r w:rsidRPr="00B11990">
        <w:rPr>
          <w:rFonts w:ascii="Calibri" w:eastAsia="Times New Roman" w:hAnsi="Calibri" w:cs="Times New Roman"/>
          <w:iCs/>
          <w:sz w:val="24"/>
          <w:szCs w:val="24"/>
        </w:rPr>
        <w:t>U 20</w:t>
      </w:r>
      <w:r w:rsidR="004229CA" w:rsidRPr="00B11990">
        <w:rPr>
          <w:rFonts w:ascii="Calibri" w:eastAsia="Times New Roman" w:hAnsi="Calibri" w:cs="Times New Roman"/>
          <w:iCs/>
          <w:sz w:val="24"/>
          <w:szCs w:val="24"/>
        </w:rPr>
        <w:t>20</w:t>
      </w:r>
      <w:r w:rsidR="003442D8" w:rsidRPr="00B11990">
        <w:rPr>
          <w:rFonts w:ascii="Calibri" w:eastAsia="Times New Roman" w:hAnsi="Calibri" w:cs="Times New Roman"/>
          <w:iCs/>
          <w:sz w:val="24"/>
          <w:szCs w:val="24"/>
        </w:rPr>
        <w:t xml:space="preserve">. godini nastavlja se provedba EU projekta </w:t>
      </w:r>
      <w:bookmarkStart w:id="26" w:name="_Hlk72216314"/>
      <w:r w:rsidR="003442D8" w:rsidRPr="00B11990">
        <w:rPr>
          <w:rFonts w:ascii="Calibri" w:eastAsia="Times New Roman" w:hAnsi="Calibri" w:cs="Times New Roman"/>
          <w:iCs/>
          <w:sz w:val="24"/>
          <w:szCs w:val="24"/>
        </w:rPr>
        <w:t>„Projekt prikupljanja, pročišćavanja i odvodnje otpadnih voda na području otoka Krka“</w:t>
      </w:r>
      <w:bookmarkEnd w:id="26"/>
      <w:r w:rsidR="003442D8" w:rsidRPr="00B11990">
        <w:rPr>
          <w:rFonts w:ascii="Calibri" w:eastAsia="Times New Roman" w:hAnsi="Calibri" w:cs="Times New Roman"/>
          <w:iCs/>
          <w:sz w:val="24"/>
          <w:szCs w:val="24"/>
        </w:rPr>
        <w:t xml:space="preserve"> </w:t>
      </w:r>
      <w:r w:rsidR="003442D8" w:rsidRPr="00B11990">
        <w:rPr>
          <w:rFonts w:ascii="Calibri" w:eastAsia="Times New Roman" w:hAnsi="Calibri" w:cs="Times New Roman"/>
          <w:sz w:val="24"/>
          <w:szCs w:val="24"/>
        </w:rPr>
        <w:t>koji je započeo u 2017. godini</w:t>
      </w:r>
      <w:r w:rsidR="00266667">
        <w:rPr>
          <w:rFonts w:ascii="Calibri" w:eastAsia="Times New Roman" w:hAnsi="Calibri" w:cs="Times New Roman"/>
          <w:sz w:val="24"/>
          <w:szCs w:val="24"/>
        </w:rPr>
        <w:t>.</w:t>
      </w:r>
    </w:p>
    <w:p w14:paraId="47F7595A" w14:textId="7787BDD7" w:rsidR="003442D8" w:rsidRPr="00B11990" w:rsidRDefault="003442D8" w:rsidP="00883749">
      <w:pPr>
        <w:spacing w:after="0" w:line="240" w:lineRule="auto"/>
        <w:ind w:right="92"/>
        <w:contextualSpacing/>
        <w:jc w:val="both"/>
        <w:rPr>
          <w:rFonts w:ascii="Calibri" w:eastAsia="Times New Roman" w:hAnsi="Calibri" w:cs="Times New Roman"/>
          <w:bCs/>
          <w:iCs/>
          <w:sz w:val="24"/>
          <w:szCs w:val="24"/>
        </w:rPr>
      </w:pPr>
      <w:r w:rsidRPr="00B11990">
        <w:rPr>
          <w:rFonts w:ascii="Calibri" w:eastAsia="Times New Roman" w:hAnsi="Calibri" w:cs="Times New Roman"/>
          <w:sz w:val="24"/>
          <w:szCs w:val="24"/>
        </w:rPr>
        <w:t>26. srpnja 2017. godine potpisani su ugovori:</w:t>
      </w:r>
    </w:p>
    <w:p w14:paraId="772BB27E" w14:textId="738F8177" w:rsidR="003442D8" w:rsidRPr="00B460BA" w:rsidRDefault="003442D8" w:rsidP="00B460BA">
      <w:pPr>
        <w:spacing w:after="0" w:line="240" w:lineRule="auto"/>
        <w:ind w:right="92"/>
        <w:jc w:val="both"/>
        <w:rPr>
          <w:rFonts w:ascii="Calibri" w:eastAsia="Times New Roman" w:hAnsi="Calibri" w:cs="Times New Roman"/>
          <w:sz w:val="24"/>
          <w:szCs w:val="24"/>
        </w:rPr>
      </w:pPr>
      <w:r w:rsidRPr="00B460BA">
        <w:rPr>
          <w:rFonts w:ascii="Calibri" w:eastAsia="Times New Roman" w:hAnsi="Calibri" w:cs="Times New Roman"/>
          <w:sz w:val="24"/>
          <w:szCs w:val="24"/>
        </w:rPr>
        <w:t xml:space="preserve">- </w:t>
      </w:r>
      <w:r w:rsidRPr="002164E7">
        <w:rPr>
          <w:rFonts w:ascii="Calibri" w:eastAsia="Times New Roman" w:hAnsi="Calibri" w:cs="Times New Roman"/>
          <w:b/>
          <w:bCs/>
          <w:sz w:val="24"/>
          <w:szCs w:val="24"/>
        </w:rPr>
        <w:t>Ugovor o dodjeli bespovratnih sredstava</w:t>
      </w:r>
      <w:r w:rsidRPr="00B460BA">
        <w:rPr>
          <w:rFonts w:ascii="Calibri" w:eastAsia="Times New Roman" w:hAnsi="Calibri" w:cs="Times New Roman"/>
          <w:sz w:val="24"/>
          <w:szCs w:val="24"/>
        </w:rPr>
        <w:t xml:space="preserve"> EU projekta s Ministarstvom zaštite okoliša i energetike kao posredničkog tijela 1 i Hrvatskim vodama kao posredničkog tijela 2</w:t>
      </w:r>
      <w:r w:rsidR="00C97F93">
        <w:rPr>
          <w:rFonts w:ascii="Calibri" w:eastAsia="Times New Roman" w:hAnsi="Calibri" w:cs="Times New Roman"/>
          <w:sz w:val="24"/>
          <w:szCs w:val="24"/>
        </w:rPr>
        <w:t>,</w:t>
      </w:r>
    </w:p>
    <w:p w14:paraId="626B7066" w14:textId="01BE1099" w:rsidR="003442D8" w:rsidRPr="00B460BA" w:rsidRDefault="003442D8" w:rsidP="00B460BA">
      <w:pPr>
        <w:spacing w:after="0" w:line="240" w:lineRule="auto"/>
        <w:jc w:val="both"/>
        <w:rPr>
          <w:rFonts w:ascii="Calibri" w:eastAsia="Times New Roman" w:hAnsi="Calibri" w:cs="Times New Roman"/>
          <w:sz w:val="24"/>
          <w:szCs w:val="24"/>
        </w:rPr>
      </w:pPr>
      <w:r w:rsidRPr="00B460BA">
        <w:rPr>
          <w:rFonts w:ascii="Calibri" w:eastAsia="Times New Roman" w:hAnsi="Calibri" w:cs="Times New Roman"/>
          <w:sz w:val="24"/>
          <w:szCs w:val="24"/>
        </w:rPr>
        <w:t xml:space="preserve">- </w:t>
      </w:r>
      <w:r w:rsidRPr="002164E7">
        <w:rPr>
          <w:rFonts w:ascii="Calibri" w:eastAsia="Times New Roman" w:hAnsi="Calibri" w:cs="Times New Roman"/>
          <w:b/>
          <w:bCs/>
          <w:sz w:val="24"/>
          <w:szCs w:val="24"/>
        </w:rPr>
        <w:t>Ugovor o sufinanciranju</w:t>
      </w:r>
      <w:r w:rsidRPr="00B460BA">
        <w:rPr>
          <w:rFonts w:ascii="Calibri" w:eastAsia="Times New Roman" w:hAnsi="Calibri" w:cs="Times New Roman"/>
          <w:sz w:val="24"/>
          <w:szCs w:val="24"/>
        </w:rPr>
        <w:t xml:space="preserve"> EU projekta s Ministarstv</w:t>
      </w:r>
      <w:r w:rsidR="002164E7">
        <w:rPr>
          <w:rFonts w:ascii="Calibri" w:eastAsia="Times New Roman" w:hAnsi="Calibri" w:cs="Times New Roman"/>
          <w:sz w:val="24"/>
          <w:szCs w:val="24"/>
        </w:rPr>
        <w:t>om</w:t>
      </w:r>
      <w:r w:rsidRPr="00B460BA">
        <w:rPr>
          <w:rFonts w:ascii="Calibri" w:eastAsia="Times New Roman" w:hAnsi="Calibri" w:cs="Times New Roman"/>
          <w:sz w:val="24"/>
          <w:szCs w:val="24"/>
        </w:rPr>
        <w:t xml:space="preserve"> zaštite okoliša i energetike kao posredničkog tijela 1, Hrvatskim vodama kao posredničkog tijela 2, te 6 jedinica lokalne samouprave (sve jedinice otoka Krka osim Vrbnika koji ne sudjeluje u EU projektu) i Ponikve vodom</w:t>
      </w:r>
      <w:r w:rsidR="00C97F93">
        <w:rPr>
          <w:rFonts w:ascii="Calibri" w:eastAsia="Times New Roman" w:hAnsi="Calibri" w:cs="Times New Roman"/>
          <w:sz w:val="24"/>
          <w:szCs w:val="24"/>
        </w:rPr>
        <w:t>,</w:t>
      </w:r>
    </w:p>
    <w:p w14:paraId="4EC3F729" w14:textId="008C2D32" w:rsidR="003442D8" w:rsidRPr="00B460BA" w:rsidRDefault="003442D8" w:rsidP="00B460BA">
      <w:pPr>
        <w:spacing w:after="0" w:line="240" w:lineRule="auto"/>
        <w:jc w:val="both"/>
        <w:rPr>
          <w:rFonts w:ascii="Calibri" w:eastAsia="Times New Roman" w:hAnsi="Calibri" w:cs="Times New Roman"/>
          <w:sz w:val="24"/>
          <w:szCs w:val="24"/>
        </w:rPr>
      </w:pPr>
      <w:r w:rsidRPr="00B460BA">
        <w:rPr>
          <w:rFonts w:ascii="Calibri" w:eastAsia="Times New Roman" w:hAnsi="Calibri" w:cs="Times New Roman"/>
          <w:sz w:val="24"/>
          <w:szCs w:val="24"/>
        </w:rPr>
        <w:t xml:space="preserve">- </w:t>
      </w:r>
      <w:r w:rsidRPr="002164E7">
        <w:rPr>
          <w:rFonts w:ascii="Calibri" w:eastAsia="Times New Roman" w:hAnsi="Calibri" w:cs="Times New Roman"/>
          <w:b/>
          <w:bCs/>
          <w:sz w:val="24"/>
          <w:szCs w:val="24"/>
        </w:rPr>
        <w:t>Ugovor o partnerstvu</w:t>
      </w:r>
      <w:r w:rsidRPr="00B460BA">
        <w:rPr>
          <w:rFonts w:ascii="Calibri" w:eastAsia="Times New Roman" w:hAnsi="Calibri" w:cs="Times New Roman"/>
          <w:sz w:val="24"/>
          <w:szCs w:val="24"/>
        </w:rPr>
        <w:t xml:space="preserve"> na EU projektu s jedinicama lokalne samouprave</w:t>
      </w:r>
      <w:r w:rsidR="00266667">
        <w:rPr>
          <w:rFonts w:ascii="Calibri" w:eastAsia="Times New Roman" w:hAnsi="Calibri" w:cs="Times New Roman"/>
          <w:sz w:val="24"/>
          <w:szCs w:val="24"/>
        </w:rPr>
        <w:t>.</w:t>
      </w:r>
    </w:p>
    <w:p w14:paraId="6EEFA86A" w14:textId="77777777" w:rsidR="00266667" w:rsidRDefault="00266667" w:rsidP="00B460BA">
      <w:pPr>
        <w:spacing w:after="0" w:line="240" w:lineRule="auto"/>
        <w:jc w:val="both"/>
        <w:rPr>
          <w:rFonts w:ascii="Calibri" w:eastAsia="Times New Roman" w:hAnsi="Calibri" w:cs="Times New Roman"/>
          <w:sz w:val="24"/>
          <w:szCs w:val="24"/>
        </w:rPr>
      </w:pPr>
    </w:p>
    <w:p w14:paraId="4FBF3D78" w14:textId="2BA503C8" w:rsidR="00B460BA" w:rsidRDefault="003442D8" w:rsidP="00266667">
      <w:pPr>
        <w:spacing w:after="0" w:line="240" w:lineRule="auto"/>
        <w:jc w:val="both"/>
      </w:pPr>
      <w:r w:rsidRPr="00B460BA">
        <w:rPr>
          <w:rFonts w:ascii="Calibri" w:eastAsia="Times New Roman" w:hAnsi="Calibri" w:cs="Times New Roman"/>
          <w:sz w:val="24"/>
          <w:szCs w:val="24"/>
        </w:rPr>
        <w:t xml:space="preserve">Ukupna vrijednost projekta procijenjena je na iznos od 648.312.359,00 kn. Prihvatljivi procijenjeni troškovi iznose </w:t>
      </w:r>
      <w:r w:rsidRPr="00B460BA">
        <w:rPr>
          <w:rFonts w:ascii="Calibri" w:eastAsia="Times New Roman" w:hAnsi="Calibri" w:cs="Times New Roman"/>
          <w:b/>
          <w:sz w:val="24"/>
          <w:szCs w:val="24"/>
        </w:rPr>
        <w:t>510.913.257,00 kn</w:t>
      </w:r>
      <w:r w:rsidRPr="00B460BA">
        <w:rPr>
          <w:rFonts w:ascii="Calibri" w:eastAsia="Times New Roman" w:hAnsi="Calibri" w:cs="Times New Roman"/>
          <w:sz w:val="24"/>
          <w:szCs w:val="24"/>
        </w:rPr>
        <w:t>, a neprihvatljivi trošak su ulaganja do 2014. godine i porez na dodanu vrijednost. Ud</w:t>
      </w:r>
      <w:r w:rsidR="00266667">
        <w:rPr>
          <w:rFonts w:ascii="Calibri" w:eastAsia="Times New Roman" w:hAnsi="Calibri" w:cs="Times New Roman"/>
          <w:sz w:val="24"/>
          <w:szCs w:val="24"/>
        </w:rPr>
        <w:t xml:space="preserve">io bespovratnih sredstava u </w:t>
      </w:r>
      <w:r w:rsidRPr="00B460BA">
        <w:rPr>
          <w:rFonts w:ascii="Calibri" w:eastAsia="Times New Roman" w:hAnsi="Calibri" w:cs="Times New Roman"/>
          <w:sz w:val="24"/>
          <w:szCs w:val="24"/>
        </w:rPr>
        <w:t>sufinanciranju</w:t>
      </w:r>
      <w:r w:rsidR="00266667">
        <w:rPr>
          <w:rFonts w:ascii="Calibri" w:eastAsia="Times New Roman" w:hAnsi="Calibri" w:cs="Times New Roman"/>
          <w:sz w:val="24"/>
          <w:szCs w:val="24"/>
        </w:rPr>
        <w:t xml:space="preserve"> EU projekta</w:t>
      </w:r>
      <w:r w:rsidRPr="00B460BA">
        <w:rPr>
          <w:rFonts w:ascii="Calibri" w:eastAsia="Times New Roman" w:hAnsi="Calibri" w:cs="Times New Roman"/>
          <w:sz w:val="24"/>
          <w:szCs w:val="24"/>
        </w:rPr>
        <w:t xml:space="preserve"> </w:t>
      </w:r>
      <w:r w:rsidR="00266667">
        <w:rPr>
          <w:rFonts w:ascii="Calibri" w:eastAsia="Times New Roman" w:hAnsi="Calibri" w:cs="Times New Roman"/>
          <w:sz w:val="24"/>
          <w:szCs w:val="24"/>
        </w:rPr>
        <w:t xml:space="preserve">iznosi </w:t>
      </w:r>
      <w:r w:rsidRPr="00883749">
        <w:rPr>
          <w:rFonts w:ascii="Calibri" w:eastAsia="Times New Roman" w:hAnsi="Calibri" w:cs="Times New Roman"/>
        </w:rPr>
        <w:t>72,25075%</w:t>
      </w:r>
      <w:r w:rsidR="00266667">
        <w:rPr>
          <w:rFonts w:ascii="Calibri" w:eastAsia="Times New Roman" w:hAnsi="Calibri" w:cs="Times New Roman"/>
        </w:rPr>
        <w:t xml:space="preserve">. </w:t>
      </w:r>
      <w:r w:rsidR="00266667">
        <w:rPr>
          <w:rFonts w:ascii="Calibri" w:eastAsia="Times New Roman" w:hAnsi="Calibri" w:cs="Times New Roman"/>
          <w:sz w:val="24"/>
          <w:szCs w:val="24"/>
        </w:rPr>
        <w:t>D</w:t>
      </w:r>
      <w:r w:rsidRPr="00B460BA">
        <w:rPr>
          <w:rFonts w:ascii="Calibri" w:eastAsia="Times New Roman" w:hAnsi="Calibri" w:cs="Times New Roman"/>
          <w:sz w:val="24"/>
          <w:szCs w:val="24"/>
        </w:rPr>
        <w:t>omać</w:t>
      </w:r>
      <w:r w:rsidR="00266667">
        <w:rPr>
          <w:rFonts w:ascii="Calibri" w:eastAsia="Times New Roman" w:hAnsi="Calibri" w:cs="Times New Roman"/>
          <w:sz w:val="24"/>
          <w:szCs w:val="24"/>
        </w:rPr>
        <w:t>a</w:t>
      </w:r>
      <w:r w:rsidRPr="00B460BA">
        <w:rPr>
          <w:rFonts w:ascii="Calibri" w:eastAsia="Times New Roman" w:hAnsi="Calibri" w:cs="Times New Roman"/>
          <w:sz w:val="24"/>
          <w:szCs w:val="24"/>
        </w:rPr>
        <w:t xml:space="preserve"> komponent</w:t>
      </w:r>
      <w:r w:rsidR="00266667">
        <w:rPr>
          <w:rFonts w:ascii="Calibri" w:eastAsia="Times New Roman" w:hAnsi="Calibri" w:cs="Times New Roman"/>
          <w:sz w:val="24"/>
          <w:szCs w:val="24"/>
        </w:rPr>
        <w:t>a</w:t>
      </w:r>
      <w:r w:rsidRPr="00B460BA">
        <w:rPr>
          <w:rFonts w:ascii="Calibri" w:eastAsia="Times New Roman" w:hAnsi="Calibri" w:cs="Times New Roman"/>
          <w:sz w:val="24"/>
          <w:szCs w:val="24"/>
        </w:rPr>
        <w:t xml:space="preserve"> </w:t>
      </w:r>
      <w:r w:rsidR="00266667" w:rsidRPr="00B460BA">
        <w:rPr>
          <w:rFonts w:ascii="Calibri" w:eastAsia="Times New Roman" w:hAnsi="Calibri" w:cs="Times New Roman"/>
          <w:sz w:val="24"/>
          <w:szCs w:val="24"/>
        </w:rPr>
        <w:t xml:space="preserve">u sufinanciranju </w:t>
      </w:r>
      <w:r w:rsidR="00266667">
        <w:rPr>
          <w:rFonts w:ascii="Calibri" w:eastAsia="Times New Roman" w:hAnsi="Calibri" w:cs="Times New Roman"/>
          <w:sz w:val="24"/>
          <w:szCs w:val="24"/>
        </w:rPr>
        <w:t xml:space="preserve">EU projekta jednako je podijeljena na: </w:t>
      </w:r>
      <w:r w:rsidR="00B460BA" w:rsidRPr="00185293">
        <w:t>Ministarstv</w:t>
      </w:r>
      <w:r w:rsidR="00B460BA">
        <w:t>o</w:t>
      </w:r>
      <w:r w:rsidR="00B460BA" w:rsidRPr="00185293">
        <w:t xml:space="preserve"> zaštite okoliša i energetike</w:t>
      </w:r>
      <w:r w:rsidR="00266667">
        <w:t xml:space="preserve"> (1/3), </w:t>
      </w:r>
      <w:r w:rsidR="00B460BA">
        <w:t>Hrvatske vode</w:t>
      </w:r>
      <w:r w:rsidR="00266667">
        <w:t xml:space="preserve"> (1/3) i </w:t>
      </w:r>
      <w:r w:rsidR="00B460BA">
        <w:t>lokaln</w:t>
      </w:r>
      <w:r w:rsidR="00266667">
        <w:t>u</w:t>
      </w:r>
      <w:r w:rsidR="00B460BA">
        <w:t xml:space="preserve"> komponent</w:t>
      </w:r>
      <w:r w:rsidR="00266667">
        <w:t xml:space="preserve">u - </w:t>
      </w:r>
      <w:r w:rsidR="00B460BA">
        <w:t>otok Krk</w:t>
      </w:r>
      <w:r w:rsidR="00266667">
        <w:t xml:space="preserve"> (1/3</w:t>
      </w:r>
      <w:r w:rsidR="00B460BA">
        <w:t>)</w:t>
      </w:r>
      <w:r w:rsidR="00266667">
        <w:t>. Lokalna komponenta čine:</w:t>
      </w:r>
    </w:p>
    <w:p w14:paraId="76A5FF41" w14:textId="77777777" w:rsidR="00B460BA" w:rsidRPr="00610D49" w:rsidRDefault="00B460BA" w:rsidP="00B460BA">
      <w:pPr>
        <w:pStyle w:val="ListParagraph"/>
        <w:spacing w:after="0"/>
        <w:rPr>
          <w:sz w:val="10"/>
          <w:szCs w:val="10"/>
        </w:rPr>
      </w:pPr>
    </w:p>
    <w:p w14:paraId="593E5893" w14:textId="6EF81046"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Ponikve voda d.o.o.</w:t>
      </w:r>
      <w:r w:rsidRPr="00610D49">
        <w:rPr>
          <w:sz w:val="20"/>
          <w:szCs w:val="20"/>
        </w:rPr>
        <w:tab/>
      </w:r>
      <w:r w:rsidR="00266667">
        <w:rPr>
          <w:sz w:val="20"/>
          <w:szCs w:val="20"/>
        </w:rPr>
        <w:tab/>
        <w:t>10,27</w:t>
      </w:r>
      <w:r w:rsidRPr="00610D49">
        <w:rPr>
          <w:sz w:val="20"/>
          <w:szCs w:val="20"/>
        </w:rPr>
        <w:t>%</w:t>
      </w:r>
    </w:p>
    <w:p w14:paraId="47D8D1E6" w14:textId="3D95325C"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Grad Krk</w:t>
      </w:r>
      <w:r w:rsidRPr="00610D49">
        <w:rPr>
          <w:sz w:val="20"/>
          <w:szCs w:val="20"/>
        </w:rPr>
        <w:tab/>
      </w:r>
      <w:r w:rsidRPr="00610D49">
        <w:rPr>
          <w:sz w:val="20"/>
          <w:szCs w:val="20"/>
        </w:rPr>
        <w:tab/>
      </w:r>
      <w:r w:rsidR="00266667">
        <w:rPr>
          <w:sz w:val="20"/>
          <w:szCs w:val="20"/>
        </w:rPr>
        <w:tab/>
        <w:t>20,39</w:t>
      </w:r>
      <w:r w:rsidRPr="00610D49">
        <w:rPr>
          <w:sz w:val="20"/>
          <w:szCs w:val="20"/>
        </w:rPr>
        <w:t>%</w:t>
      </w:r>
    </w:p>
    <w:p w14:paraId="63F93DDE" w14:textId="1FB9C0AD"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Općina Baška</w:t>
      </w:r>
      <w:r w:rsidRPr="00610D49">
        <w:rPr>
          <w:sz w:val="20"/>
          <w:szCs w:val="20"/>
        </w:rPr>
        <w:tab/>
      </w:r>
      <w:r w:rsidRPr="00610D49">
        <w:rPr>
          <w:sz w:val="20"/>
          <w:szCs w:val="20"/>
        </w:rPr>
        <w:tab/>
      </w:r>
      <w:r w:rsidR="00266667">
        <w:rPr>
          <w:sz w:val="20"/>
          <w:szCs w:val="20"/>
        </w:rPr>
        <w:tab/>
        <w:t>11,55</w:t>
      </w:r>
      <w:r w:rsidRPr="00610D49">
        <w:rPr>
          <w:sz w:val="20"/>
          <w:szCs w:val="20"/>
        </w:rPr>
        <w:t>%</w:t>
      </w:r>
    </w:p>
    <w:p w14:paraId="6BC75B44" w14:textId="34216ABD"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Općina Dobrinj</w:t>
      </w:r>
      <w:r w:rsidRPr="00610D49">
        <w:rPr>
          <w:sz w:val="20"/>
          <w:szCs w:val="20"/>
        </w:rPr>
        <w:tab/>
      </w:r>
      <w:r w:rsidRPr="00610D49">
        <w:rPr>
          <w:sz w:val="20"/>
          <w:szCs w:val="20"/>
        </w:rPr>
        <w:tab/>
      </w:r>
      <w:r w:rsidR="00266667">
        <w:rPr>
          <w:sz w:val="20"/>
          <w:szCs w:val="20"/>
        </w:rPr>
        <w:tab/>
        <w:t>15,76</w:t>
      </w:r>
      <w:r w:rsidRPr="00610D49">
        <w:rPr>
          <w:sz w:val="20"/>
          <w:szCs w:val="20"/>
        </w:rPr>
        <w:t>%</w:t>
      </w:r>
    </w:p>
    <w:p w14:paraId="5A0535F0" w14:textId="0108AFDA"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Općina Malinska-Dubašnica</w:t>
      </w:r>
      <w:r w:rsidR="00266667">
        <w:rPr>
          <w:sz w:val="20"/>
          <w:szCs w:val="20"/>
        </w:rPr>
        <w:tab/>
        <w:t>17,15</w:t>
      </w:r>
      <w:r w:rsidRPr="00610D49">
        <w:rPr>
          <w:sz w:val="20"/>
          <w:szCs w:val="20"/>
        </w:rPr>
        <w:t>%</w:t>
      </w:r>
    </w:p>
    <w:p w14:paraId="14F32A4E" w14:textId="0B159B44"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Općina Omišalj</w:t>
      </w:r>
      <w:r w:rsidRPr="00610D49">
        <w:rPr>
          <w:sz w:val="20"/>
          <w:szCs w:val="20"/>
        </w:rPr>
        <w:tab/>
      </w:r>
      <w:r w:rsidRPr="00610D49">
        <w:rPr>
          <w:sz w:val="20"/>
          <w:szCs w:val="20"/>
        </w:rPr>
        <w:tab/>
      </w:r>
      <w:r w:rsidR="00266667">
        <w:rPr>
          <w:sz w:val="20"/>
          <w:szCs w:val="20"/>
        </w:rPr>
        <w:tab/>
      </w:r>
      <w:r w:rsidR="00BE39F7">
        <w:rPr>
          <w:sz w:val="20"/>
          <w:szCs w:val="20"/>
        </w:rPr>
        <w:t>15,98</w:t>
      </w:r>
      <w:r w:rsidRPr="00610D49">
        <w:rPr>
          <w:sz w:val="20"/>
          <w:szCs w:val="20"/>
        </w:rPr>
        <w:t>%</w:t>
      </w:r>
    </w:p>
    <w:p w14:paraId="4FAABE50" w14:textId="291280F1" w:rsidR="00B460BA" w:rsidRPr="00610D49" w:rsidRDefault="00B460BA" w:rsidP="00B460BA">
      <w:pPr>
        <w:pStyle w:val="ListParagraph"/>
        <w:numPr>
          <w:ilvl w:val="1"/>
          <w:numId w:val="7"/>
        </w:numPr>
        <w:spacing w:after="0" w:line="240" w:lineRule="auto"/>
        <w:jc w:val="both"/>
        <w:rPr>
          <w:sz w:val="20"/>
          <w:szCs w:val="20"/>
        </w:rPr>
      </w:pPr>
      <w:r w:rsidRPr="00610D49">
        <w:rPr>
          <w:sz w:val="20"/>
          <w:szCs w:val="20"/>
        </w:rPr>
        <w:t>Općina Punat</w:t>
      </w:r>
      <w:r w:rsidRPr="00610D49">
        <w:rPr>
          <w:sz w:val="20"/>
          <w:szCs w:val="20"/>
        </w:rPr>
        <w:tab/>
      </w:r>
      <w:r w:rsidRPr="00610D49">
        <w:rPr>
          <w:sz w:val="20"/>
          <w:szCs w:val="20"/>
        </w:rPr>
        <w:tab/>
      </w:r>
      <w:r w:rsidR="00BE39F7">
        <w:rPr>
          <w:sz w:val="20"/>
          <w:szCs w:val="20"/>
        </w:rPr>
        <w:tab/>
        <w:t xml:space="preserve">  8,90</w:t>
      </w:r>
      <w:r w:rsidRPr="00610D49">
        <w:rPr>
          <w:sz w:val="20"/>
          <w:szCs w:val="20"/>
        </w:rPr>
        <w:t>%</w:t>
      </w:r>
    </w:p>
    <w:p w14:paraId="25A4EAE3" w14:textId="77777777" w:rsidR="00BE39F7" w:rsidRPr="002164E7" w:rsidRDefault="00BE39F7" w:rsidP="002164E7">
      <w:pPr>
        <w:spacing w:after="0" w:line="240" w:lineRule="auto"/>
        <w:jc w:val="both"/>
        <w:rPr>
          <w:rFonts w:ascii="Calibri" w:eastAsia="Times New Roman" w:hAnsi="Calibri" w:cs="Times New Roman"/>
          <w:sz w:val="24"/>
          <w:szCs w:val="24"/>
        </w:rPr>
      </w:pPr>
    </w:p>
    <w:p w14:paraId="3B65CE65" w14:textId="3C7D901F" w:rsidR="00C97F93" w:rsidRPr="009434B5" w:rsidRDefault="009434B5" w:rsidP="00C97F93">
      <w:pPr>
        <w:pStyle w:val="ListParagraph"/>
        <w:numPr>
          <w:ilvl w:val="0"/>
          <w:numId w:val="10"/>
        </w:numPr>
        <w:spacing w:after="0" w:line="240" w:lineRule="auto"/>
        <w:ind w:left="851" w:hanging="851"/>
        <w:jc w:val="both"/>
        <w:rPr>
          <w:rFonts w:ascii="Calibri" w:eastAsia="Times New Roman" w:hAnsi="Calibri" w:cs="Times New Roman"/>
          <w:b/>
          <w:bCs/>
          <w:sz w:val="24"/>
          <w:szCs w:val="24"/>
        </w:rPr>
      </w:pPr>
      <w:r w:rsidRPr="009434B5">
        <w:rPr>
          <w:rFonts w:ascii="Calibri" w:eastAsia="Times New Roman" w:hAnsi="Calibri" w:cs="Times New Roman"/>
          <w:b/>
          <w:bCs/>
          <w:sz w:val="24"/>
          <w:szCs w:val="24"/>
        </w:rPr>
        <w:t>Financijske korekcije</w:t>
      </w:r>
      <w:r w:rsidR="00266667">
        <w:rPr>
          <w:rFonts w:ascii="Calibri" w:eastAsia="Times New Roman" w:hAnsi="Calibri" w:cs="Times New Roman"/>
          <w:b/>
          <w:bCs/>
          <w:sz w:val="24"/>
          <w:szCs w:val="24"/>
        </w:rPr>
        <w:t xml:space="preserve"> EU projekta</w:t>
      </w:r>
    </w:p>
    <w:p w14:paraId="476415D9" w14:textId="77777777" w:rsidR="009434B5" w:rsidRPr="009434B5" w:rsidRDefault="009434B5" w:rsidP="009434B5">
      <w:pPr>
        <w:pStyle w:val="ListParagraph"/>
        <w:spacing w:after="0" w:line="240" w:lineRule="auto"/>
        <w:ind w:left="851"/>
        <w:jc w:val="both"/>
        <w:rPr>
          <w:rFonts w:ascii="Calibri" w:eastAsia="Times New Roman" w:hAnsi="Calibri" w:cs="Times New Roman"/>
          <w:b/>
          <w:bCs/>
          <w:sz w:val="24"/>
          <w:szCs w:val="24"/>
        </w:rPr>
      </w:pPr>
    </w:p>
    <w:p w14:paraId="6987CD7B" w14:textId="2A55DF57" w:rsidR="002164E7" w:rsidRPr="009434B5" w:rsidRDefault="002164E7" w:rsidP="002164E7">
      <w:pPr>
        <w:spacing w:after="0" w:line="240" w:lineRule="auto"/>
        <w:jc w:val="both"/>
        <w:rPr>
          <w:rFonts w:ascii="Calibri" w:eastAsia="Times New Roman" w:hAnsi="Calibri" w:cs="Times New Roman"/>
          <w:sz w:val="24"/>
          <w:szCs w:val="24"/>
        </w:rPr>
      </w:pPr>
      <w:r w:rsidRPr="009434B5">
        <w:rPr>
          <w:rFonts w:ascii="Calibri" w:eastAsia="Times New Roman" w:hAnsi="Calibri" w:cs="Times New Roman"/>
          <w:sz w:val="24"/>
          <w:szCs w:val="24"/>
        </w:rPr>
        <w:t>Društvo je primilo sljedeće obavijesti o donesenim odlukama o utvrđenim nepravilnostima prema kojima se primjenjuju financijske korekcije:</w:t>
      </w:r>
    </w:p>
    <w:p w14:paraId="19E2E3C4" w14:textId="77777777" w:rsidR="002164E7" w:rsidRPr="009434B5" w:rsidRDefault="002164E7" w:rsidP="002164E7">
      <w:pPr>
        <w:spacing w:after="0" w:line="240" w:lineRule="auto"/>
        <w:jc w:val="both"/>
        <w:rPr>
          <w:rFonts w:ascii="Calibri" w:eastAsia="Times New Roman" w:hAnsi="Calibri" w:cs="Times New Roman"/>
          <w:sz w:val="10"/>
          <w:szCs w:val="10"/>
        </w:rPr>
      </w:pPr>
    </w:p>
    <w:p w14:paraId="3048A840" w14:textId="77777777" w:rsidR="002164E7" w:rsidRPr="009434B5" w:rsidRDefault="002164E7" w:rsidP="002164E7">
      <w:pPr>
        <w:spacing w:after="0" w:line="240" w:lineRule="auto"/>
        <w:jc w:val="both"/>
        <w:rPr>
          <w:rFonts w:ascii="Calibri" w:eastAsia="Times New Roman" w:hAnsi="Calibri" w:cs="Times New Roman"/>
          <w:sz w:val="24"/>
          <w:szCs w:val="24"/>
        </w:rPr>
      </w:pPr>
      <w:r w:rsidRPr="009434B5">
        <w:rPr>
          <w:rFonts w:ascii="Calibri" w:eastAsia="Times New Roman" w:hAnsi="Calibri" w:cs="Times New Roman"/>
          <w:sz w:val="24"/>
          <w:szCs w:val="24"/>
        </w:rPr>
        <w:t>1)</w:t>
      </w:r>
      <w:r w:rsidRPr="009434B5">
        <w:rPr>
          <w:rFonts w:ascii="Calibri" w:eastAsia="Times New Roman" w:hAnsi="Calibri" w:cs="Times New Roman"/>
          <w:sz w:val="24"/>
          <w:szCs w:val="24"/>
        </w:rPr>
        <w:tab/>
        <w:t>23. svibnja 2018. godine za linijske građevine - financijska korekcija 10%</w:t>
      </w:r>
    </w:p>
    <w:p w14:paraId="6E6B751E" w14:textId="77777777" w:rsidR="002164E7" w:rsidRPr="009434B5" w:rsidRDefault="002164E7" w:rsidP="002164E7">
      <w:pPr>
        <w:spacing w:after="0" w:line="240" w:lineRule="auto"/>
        <w:jc w:val="both"/>
        <w:rPr>
          <w:rFonts w:ascii="Calibri" w:eastAsia="Times New Roman" w:hAnsi="Calibri" w:cs="Times New Roman"/>
          <w:sz w:val="24"/>
          <w:szCs w:val="24"/>
        </w:rPr>
      </w:pPr>
      <w:r w:rsidRPr="009434B5">
        <w:rPr>
          <w:rFonts w:ascii="Calibri" w:eastAsia="Times New Roman" w:hAnsi="Calibri" w:cs="Times New Roman"/>
          <w:sz w:val="24"/>
          <w:szCs w:val="24"/>
        </w:rPr>
        <w:t>2)</w:t>
      </w:r>
      <w:r w:rsidRPr="009434B5">
        <w:rPr>
          <w:rFonts w:ascii="Calibri" w:eastAsia="Times New Roman" w:hAnsi="Calibri" w:cs="Times New Roman"/>
          <w:sz w:val="24"/>
          <w:szCs w:val="24"/>
        </w:rPr>
        <w:tab/>
        <w:t>28. studenog 2018. godine za nadzor - financijska korekcija 5%</w:t>
      </w:r>
    </w:p>
    <w:p w14:paraId="2B78DFE2" w14:textId="318904E1" w:rsidR="002164E7" w:rsidRPr="009434B5" w:rsidRDefault="002164E7" w:rsidP="0091274C">
      <w:pPr>
        <w:spacing w:after="0" w:line="240" w:lineRule="auto"/>
        <w:jc w:val="both"/>
        <w:rPr>
          <w:rFonts w:ascii="Calibri" w:eastAsia="Times New Roman" w:hAnsi="Calibri" w:cs="Times New Roman"/>
          <w:sz w:val="24"/>
          <w:szCs w:val="24"/>
        </w:rPr>
      </w:pPr>
      <w:r w:rsidRPr="009434B5">
        <w:rPr>
          <w:rFonts w:ascii="Calibri" w:eastAsia="Times New Roman" w:hAnsi="Calibri" w:cs="Times New Roman"/>
          <w:sz w:val="24"/>
          <w:szCs w:val="24"/>
        </w:rPr>
        <w:t>3)</w:t>
      </w:r>
      <w:r w:rsidRPr="009434B5">
        <w:rPr>
          <w:rFonts w:ascii="Calibri" w:eastAsia="Times New Roman" w:hAnsi="Calibri" w:cs="Times New Roman"/>
          <w:sz w:val="24"/>
          <w:szCs w:val="24"/>
        </w:rPr>
        <w:tab/>
        <w:t>08. veljače 2019. godine izm</w:t>
      </w:r>
      <w:r w:rsidR="00C97F93" w:rsidRPr="009434B5">
        <w:rPr>
          <w:rFonts w:ascii="Calibri" w:eastAsia="Times New Roman" w:hAnsi="Calibri" w:cs="Times New Roman"/>
          <w:sz w:val="24"/>
          <w:szCs w:val="24"/>
        </w:rPr>
        <w:t>i</w:t>
      </w:r>
      <w:r w:rsidRPr="009434B5">
        <w:rPr>
          <w:rFonts w:ascii="Calibri" w:eastAsia="Times New Roman" w:hAnsi="Calibri" w:cs="Times New Roman"/>
          <w:sz w:val="24"/>
          <w:szCs w:val="24"/>
        </w:rPr>
        <w:t>jenjena je odluka od 23. svibnja 2018. godine za linijske građevine - financijska korekcija s 10% povećana je na 25%. Ponikve voda je 19. veljače 2019. godine uputila prigovor Ministarstvu regionalnog razvoja i fondova EU. 04. veljače</w:t>
      </w:r>
      <w:r w:rsidR="009434B5" w:rsidRPr="009434B5">
        <w:rPr>
          <w:rFonts w:ascii="Calibri" w:eastAsia="Times New Roman" w:hAnsi="Calibri" w:cs="Times New Roman"/>
          <w:sz w:val="24"/>
          <w:szCs w:val="24"/>
        </w:rPr>
        <w:t xml:space="preserve"> </w:t>
      </w:r>
      <w:r w:rsidRPr="009434B5">
        <w:rPr>
          <w:rFonts w:ascii="Calibri" w:eastAsia="Times New Roman" w:hAnsi="Calibri" w:cs="Times New Roman"/>
          <w:sz w:val="24"/>
          <w:szCs w:val="24"/>
        </w:rPr>
        <w:t xml:space="preserve">2021. godine Hrvatske vode donijele su izmjenu odluke o utvrđenoj nepravilnosti te je financijska korekcija vraćena na 10% prihvatljive vrijednosti izvedenih radova za linijske građevine. </w:t>
      </w:r>
    </w:p>
    <w:p w14:paraId="545BDB84" w14:textId="77777777" w:rsidR="002164E7" w:rsidRPr="009434B5" w:rsidRDefault="002164E7" w:rsidP="002164E7">
      <w:pPr>
        <w:spacing w:after="0" w:line="240" w:lineRule="auto"/>
        <w:jc w:val="both"/>
        <w:rPr>
          <w:rFonts w:ascii="Calibri" w:eastAsia="Times New Roman" w:hAnsi="Calibri" w:cs="Times New Roman"/>
          <w:sz w:val="10"/>
          <w:szCs w:val="10"/>
        </w:rPr>
      </w:pPr>
    </w:p>
    <w:p w14:paraId="280BD62D" w14:textId="51B2A5D2" w:rsidR="002164E7" w:rsidRPr="00292998" w:rsidRDefault="002164E7" w:rsidP="002164E7">
      <w:pPr>
        <w:spacing w:after="0" w:line="240" w:lineRule="auto"/>
        <w:jc w:val="both"/>
        <w:rPr>
          <w:rFonts w:ascii="Calibri" w:eastAsia="Times New Roman" w:hAnsi="Calibri" w:cs="Times New Roman"/>
          <w:sz w:val="24"/>
          <w:szCs w:val="24"/>
        </w:rPr>
      </w:pPr>
      <w:r w:rsidRPr="009434B5">
        <w:rPr>
          <w:rFonts w:ascii="Calibri" w:eastAsia="Times New Roman" w:hAnsi="Calibri" w:cs="Times New Roman"/>
          <w:sz w:val="24"/>
          <w:szCs w:val="24"/>
        </w:rPr>
        <w:t>Financijske korekcije su neprihvatljivi trošak EU projekta te se financiraju djelom iz postojećeg dugoročnog kredita HBOR-a od 45 mil kn (kojeg vraćaju JLS partneri projekta 100%) te iz dva dugoročna kredita PBZ-a od 18 mil kn i 37 mil kn koji će se vraćati iz naknade za razvoj (88,8005 %) i Društvo (11,1995%)</w:t>
      </w:r>
      <w:r w:rsidR="009434B5" w:rsidRPr="009434B5">
        <w:rPr>
          <w:rFonts w:ascii="Calibri" w:eastAsia="Times New Roman" w:hAnsi="Calibri" w:cs="Times New Roman"/>
          <w:sz w:val="24"/>
          <w:szCs w:val="24"/>
        </w:rPr>
        <w:t xml:space="preserve"> </w:t>
      </w:r>
      <w:r w:rsidRPr="009434B5">
        <w:rPr>
          <w:rFonts w:ascii="Calibri" w:eastAsia="Times New Roman" w:hAnsi="Calibri" w:cs="Times New Roman"/>
          <w:sz w:val="24"/>
          <w:szCs w:val="24"/>
          <w:lang w:val="pl-PL"/>
        </w:rPr>
        <w:t>(Bilješke 1</w:t>
      </w:r>
      <w:r w:rsidR="004C7A53" w:rsidRPr="009434B5">
        <w:rPr>
          <w:rFonts w:ascii="Calibri" w:eastAsia="Times New Roman" w:hAnsi="Calibri" w:cs="Times New Roman"/>
          <w:sz w:val="24"/>
          <w:szCs w:val="24"/>
          <w:lang w:val="pl-PL"/>
        </w:rPr>
        <w:t>7</w:t>
      </w:r>
      <w:r w:rsidRPr="009434B5">
        <w:rPr>
          <w:rFonts w:ascii="Calibri" w:eastAsia="Times New Roman" w:hAnsi="Calibri" w:cs="Times New Roman"/>
          <w:sz w:val="24"/>
          <w:szCs w:val="24"/>
          <w:lang w:val="pl-PL"/>
        </w:rPr>
        <w:t>./i</w:t>
      </w:r>
      <w:r w:rsidRPr="00292998">
        <w:rPr>
          <w:rFonts w:ascii="Calibri" w:eastAsia="Times New Roman" w:hAnsi="Calibri" w:cs="Times New Roman"/>
          <w:sz w:val="24"/>
          <w:szCs w:val="24"/>
          <w:lang w:val="pl-PL"/>
        </w:rPr>
        <w:t>/)</w:t>
      </w:r>
      <w:r w:rsidR="00CC1B59" w:rsidRPr="00292998">
        <w:rPr>
          <w:rFonts w:ascii="Calibri" w:eastAsia="Times New Roman" w:hAnsi="Calibri" w:cs="Times New Roman"/>
          <w:sz w:val="24"/>
          <w:szCs w:val="24"/>
          <w:lang w:val="pl-PL"/>
        </w:rPr>
        <w:t>. Gore navedena izmjena odluke imat će utjecaj na smanjenje obveza po kreditima, a time i na</w:t>
      </w:r>
      <w:r w:rsidR="009434B5" w:rsidRPr="00292998">
        <w:rPr>
          <w:rFonts w:ascii="Calibri" w:eastAsia="Times New Roman" w:hAnsi="Calibri" w:cs="Times New Roman"/>
          <w:sz w:val="24"/>
          <w:szCs w:val="24"/>
          <w:lang w:val="pl-PL"/>
        </w:rPr>
        <w:t xml:space="preserve"> potrebne</w:t>
      </w:r>
      <w:r w:rsidR="00CC1B59" w:rsidRPr="00292998">
        <w:rPr>
          <w:rFonts w:ascii="Calibri" w:eastAsia="Times New Roman" w:hAnsi="Calibri" w:cs="Times New Roman"/>
          <w:sz w:val="24"/>
          <w:szCs w:val="24"/>
          <w:lang w:val="pl-PL"/>
        </w:rPr>
        <w:t xml:space="preserve"> izvore financiranja.</w:t>
      </w:r>
    </w:p>
    <w:p w14:paraId="4ED3135A" w14:textId="41B44F9D" w:rsidR="00892582" w:rsidRDefault="00892582" w:rsidP="003442D8">
      <w:pPr>
        <w:spacing w:after="0" w:line="240" w:lineRule="auto"/>
        <w:ind w:right="92"/>
        <w:contextualSpacing/>
        <w:jc w:val="both"/>
        <w:rPr>
          <w:rFonts w:ascii="Calibri" w:eastAsia="Times New Roman" w:hAnsi="Calibri" w:cs="Times New Roman"/>
          <w:b/>
          <w:bCs/>
          <w:iCs/>
          <w:sz w:val="24"/>
          <w:szCs w:val="24"/>
        </w:rPr>
      </w:pPr>
    </w:p>
    <w:p w14:paraId="3D5F0F61" w14:textId="02DDD1CF" w:rsidR="00BE39F7" w:rsidRDefault="00BE39F7" w:rsidP="003442D8">
      <w:pPr>
        <w:spacing w:after="0" w:line="240" w:lineRule="auto"/>
        <w:ind w:right="92"/>
        <w:contextualSpacing/>
        <w:jc w:val="both"/>
        <w:rPr>
          <w:rFonts w:ascii="Calibri" w:eastAsia="Times New Roman" w:hAnsi="Calibri" w:cs="Times New Roman"/>
          <w:b/>
          <w:bCs/>
          <w:iCs/>
          <w:sz w:val="24"/>
          <w:szCs w:val="24"/>
        </w:rPr>
      </w:pPr>
    </w:p>
    <w:p w14:paraId="12C6B650" w14:textId="6C4CD2CF" w:rsidR="00BE39F7" w:rsidRDefault="00BE39F7" w:rsidP="003442D8">
      <w:pPr>
        <w:spacing w:after="0" w:line="240" w:lineRule="auto"/>
        <w:ind w:right="92"/>
        <w:contextualSpacing/>
        <w:jc w:val="both"/>
        <w:rPr>
          <w:rFonts w:ascii="Calibri" w:eastAsia="Times New Roman" w:hAnsi="Calibri" w:cs="Times New Roman"/>
          <w:b/>
          <w:bCs/>
          <w:iCs/>
          <w:sz w:val="24"/>
          <w:szCs w:val="24"/>
        </w:rPr>
      </w:pPr>
    </w:p>
    <w:p w14:paraId="5A40456F" w14:textId="77777777" w:rsidR="00BE39F7" w:rsidRPr="008F425B" w:rsidRDefault="00BE39F7" w:rsidP="003442D8">
      <w:pPr>
        <w:spacing w:after="0" w:line="240" w:lineRule="auto"/>
        <w:ind w:right="92"/>
        <w:contextualSpacing/>
        <w:jc w:val="both"/>
        <w:rPr>
          <w:rFonts w:ascii="Calibri" w:eastAsia="Times New Roman" w:hAnsi="Calibri" w:cs="Times New Roman"/>
          <w:b/>
          <w:bCs/>
          <w:iCs/>
          <w:sz w:val="24"/>
          <w:szCs w:val="24"/>
        </w:rPr>
      </w:pPr>
    </w:p>
    <w:p w14:paraId="129A4508" w14:textId="77777777" w:rsidR="003442D8" w:rsidRPr="00FA3619" w:rsidRDefault="003442D8" w:rsidP="00883749">
      <w:pPr>
        <w:numPr>
          <w:ilvl w:val="0"/>
          <w:numId w:val="9"/>
        </w:numPr>
        <w:spacing w:after="0" w:line="240" w:lineRule="auto"/>
        <w:ind w:left="360" w:right="92"/>
        <w:contextualSpacing/>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lastRenderedPageBreak/>
        <w:t>ostala ulaganja</w:t>
      </w:r>
    </w:p>
    <w:p w14:paraId="4356F582" w14:textId="77777777" w:rsidR="003442D8" w:rsidRPr="00FA3619" w:rsidRDefault="003442D8" w:rsidP="00883749">
      <w:pPr>
        <w:spacing w:after="0" w:line="240" w:lineRule="auto"/>
        <w:ind w:right="92"/>
        <w:contextualSpacing/>
        <w:jc w:val="both"/>
        <w:rPr>
          <w:rFonts w:ascii="Calibri" w:eastAsia="Times New Roman" w:hAnsi="Calibri" w:cs="Times New Roman"/>
          <w:b/>
          <w:bCs/>
          <w:iCs/>
          <w:sz w:val="24"/>
          <w:szCs w:val="24"/>
        </w:rPr>
      </w:pPr>
    </w:p>
    <w:p w14:paraId="164B3FC6" w14:textId="5FDA4434" w:rsidR="000C3929" w:rsidRPr="00FA3619" w:rsidRDefault="000C3929" w:rsidP="006F6EFB">
      <w:pPr>
        <w:numPr>
          <w:ilvl w:val="0"/>
          <w:numId w:val="8"/>
        </w:numPr>
        <w:spacing w:after="0" w:line="240" w:lineRule="auto"/>
        <w:ind w:left="0" w:right="92" w:firstLine="0"/>
        <w:contextualSpacing/>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 xml:space="preserve">Radovi na izgradnji kanalizacijskog sustava odvodnje priobalja Općine Dobrinj (Čižići, Soline, Klimno) iznose </w:t>
      </w:r>
      <w:r w:rsidRPr="00B460BA">
        <w:rPr>
          <w:rFonts w:ascii="Calibri" w:eastAsia="Times New Roman" w:hAnsi="Calibri" w:cs="Times New Roman"/>
          <w:bCs/>
          <w:iCs/>
          <w:sz w:val="24"/>
          <w:szCs w:val="24"/>
        </w:rPr>
        <w:t>16.505.567,86 kn,</w:t>
      </w:r>
      <w:r w:rsidRPr="00FA3619">
        <w:rPr>
          <w:rFonts w:ascii="Calibri" w:eastAsia="Times New Roman" w:hAnsi="Calibri" w:cs="Times New Roman"/>
          <w:bCs/>
          <w:iCs/>
          <w:sz w:val="24"/>
          <w:szCs w:val="24"/>
        </w:rPr>
        <w:t xml:space="preserve"> a na podmorskom ispustu 1.170.957,85 kn. </w:t>
      </w:r>
    </w:p>
    <w:p w14:paraId="53775E59" w14:textId="77777777" w:rsidR="000C3929" w:rsidRPr="00FA3619" w:rsidRDefault="000C3929" w:rsidP="006F6EFB">
      <w:pPr>
        <w:spacing w:after="0" w:line="240" w:lineRule="auto"/>
        <w:ind w:right="92"/>
        <w:contextualSpacing/>
        <w:jc w:val="both"/>
        <w:rPr>
          <w:rFonts w:ascii="Calibri" w:eastAsia="Times New Roman" w:hAnsi="Calibri" w:cs="Times New Roman"/>
          <w:bCs/>
          <w:iCs/>
          <w:sz w:val="24"/>
          <w:szCs w:val="24"/>
        </w:rPr>
      </w:pPr>
    </w:p>
    <w:p w14:paraId="7A155F81" w14:textId="4A95B46E" w:rsidR="00D25B4E" w:rsidRPr="00FA3619" w:rsidRDefault="00D25B4E" w:rsidP="006F6EFB">
      <w:pPr>
        <w:numPr>
          <w:ilvl w:val="0"/>
          <w:numId w:val="8"/>
        </w:numPr>
        <w:spacing w:after="0" w:line="240" w:lineRule="auto"/>
        <w:ind w:left="0" w:right="92" w:firstLine="0"/>
        <w:contextualSpacing/>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Društvo je nastavilo s radovima na izradi projektne dokumentacije “Vodoopskrbni sustav Krka-podsustav Ponikve II faza; izrada glavnog projekta s provođenjem istraživačkih radova za faze 2, 3 i 4”. Podsustav Ponikve II faza podrazumijeva nadvišenje postojeće brane čime će se volumen akumulacije povećati na 7.000.000 m3. Na taj će se način osigurati znatno veće količine vode i bitnije će se utjecati na kvalitetu vode. Uslugu izrade projekta s istraživačkim radovima ukupne vrijednosti od 4.931.650 kn vrši Hidroinženjering d.o.o. iz Zagreba. Do kraja 20</w:t>
      </w:r>
      <w:r w:rsidR="00D854BC" w:rsidRPr="00FA3619">
        <w:rPr>
          <w:rFonts w:ascii="Calibri" w:eastAsia="Times New Roman" w:hAnsi="Calibri" w:cs="Times New Roman"/>
          <w:bCs/>
          <w:iCs/>
          <w:sz w:val="24"/>
          <w:szCs w:val="24"/>
        </w:rPr>
        <w:t>20</w:t>
      </w:r>
      <w:r w:rsidRPr="00FA3619">
        <w:rPr>
          <w:rFonts w:ascii="Calibri" w:eastAsia="Times New Roman" w:hAnsi="Calibri" w:cs="Times New Roman"/>
          <w:bCs/>
          <w:iCs/>
          <w:sz w:val="24"/>
          <w:szCs w:val="24"/>
        </w:rPr>
        <w:t>. godine situirano je 4.</w:t>
      </w:r>
      <w:r w:rsidR="00D854BC" w:rsidRPr="00FA3619">
        <w:rPr>
          <w:rFonts w:ascii="Calibri" w:eastAsia="Times New Roman" w:hAnsi="Calibri" w:cs="Times New Roman"/>
          <w:bCs/>
          <w:iCs/>
          <w:sz w:val="24"/>
          <w:szCs w:val="24"/>
        </w:rPr>
        <w:t>681</w:t>
      </w:r>
      <w:r w:rsidRPr="00FA3619">
        <w:rPr>
          <w:rFonts w:ascii="Calibri" w:eastAsia="Times New Roman" w:hAnsi="Calibri" w:cs="Times New Roman"/>
          <w:bCs/>
          <w:iCs/>
          <w:sz w:val="24"/>
          <w:szCs w:val="24"/>
        </w:rPr>
        <w:t>.</w:t>
      </w:r>
      <w:r w:rsidR="00D854BC" w:rsidRPr="00FA3619">
        <w:rPr>
          <w:rFonts w:ascii="Calibri" w:eastAsia="Times New Roman" w:hAnsi="Calibri" w:cs="Times New Roman"/>
          <w:bCs/>
          <w:iCs/>
          <w:sz w:val="24"/>
          <w:szCs w:val="24"/>
        </w:rPr>
        <w:t>750</w:t>
      </w:r>
      <w:r w:rsidRPr="00FA3619">
        <w:rPr>
          <w:rFonts w:ascii="Calibri" w:eastAsia="Times New Roman" w:hAnsi="Calibri" w:cs="Times New Roman"/>
          <w:bCs/>
          <w:iCs/>
          <w:sz w:val="24"/>
          <w:szCs w:val="24"/>
        </w:rPr>
        <w:t xml:space="preserve"> kn. Hrvatske vode su sudjelovale u sufinanciranju s </w:t>
      </w:r>
      <w:r w:rsidR="000C3929" w:rsidRPr="00FA3619">
        <w:rPr>
          <w:rFonts w:ascii="Calibri" w:eastAsia="Times New Roman" w:hAnsi="Calibri" w:cs="Times New Roman"/>
          <w:bCs/>
          <w:iCs/>
          <w:sz w:val="24"/>
          <w:szCs w:val="24"/>
        </w:rPr>
        <w:t>80</w:t>
      </w:r>
      <w:r w:rsidRPr="00FA3619">
        <w:rPr>
          <w:rFonts w:ascii="Calibri" w:eastAsia="Times New Roman" w:hAnsi="Calibri" w:cs="Times New Roman"/>
          <w:bCs/>
          <w:iCs/>
          <w:sz w:val="24"/>
          <w:szCs w:val="24"/>
        </w:rPr>
        <w:t>%, a ostatak je osigurala Ponikve voda iz vlastitih sredstava.</w:t>
      </w:r>
    </w:p>
    <w:p w14:paraId="01340CF5" w14:textId="77777777" w:rsidR="003442D8" w:rsidRPr="00FA3619" w:rsidRDefault="003442D8" w:rsidP="006F6EFB">
      <w:pPr>
        <w:spacing w:after="0" w:line="240" w:lineRule="auto"/>
        <w:jc w:val="both"/>
        <w:rPr>
          <w:rFonts w:ascii="Calibri" w:eastAsia="Times New Roman" w:hAnsi="Calibri" w:cs="Times New Roman"/>
          <w:sz w:val="24"/>
          <w:szCs w:val="24"/>
        </w:rPr>
      </w:pPr>
    </w:p>
    <w:p w14:paraId="44E1D35E" w14:textId="19CB2227" w:rsidR="003442D8" w:rsidRPr="00FA3619" w:rsidRDefault="003442D8" w:rsidP="006F6EFB">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/iii/</w:t>
      </w:r>
      <w:r w:rsidRPr="00FA3619">
        <w:rPr>
          <w:rFonts w:ascii="Calibri" w:eastAsia="Times New Roman" w:hAnsi="Calibri" w:cs="Times New Roman"/>
          <w:b/>
          <w:bCs/>
          <w:iCs/>
          <w:sz w:val="24"/>
          <w:szCs w:val="24"/>
        </w:rPr>
        <w:tab/>
      </w:r>
      <w:r w:rsidRPr="00FA3619">
        <w:rPr>
          <w:rFonts w:ascii="Calibri" w:eastAsia="Times New Roman" w:hAnsi="Calibri" w:cs="Times New Roman"/>
          <w:bCs/>
          <w:iCs/>
          <w:sz w:val="24"/>
          <w:szCs w:val="24"/>
        </w:rPr>
        <w:t xml:space="preserve">Društvo je </w:t>
      </w:r>
      <w:r w:rsidR="001176CD" w:rsidRPr="00FA3619">
        <w:rPr>
          <w:rFonts w:ascii="Calibri" w:eastAsia="Times New Roman" w:hAnsi="Calibri" w:cs="Times New Roman"/>
          <w:bCs/>
          <w:iCs/>
          <w:sz w:val="24"/>
          <w:szCs w:val="24"/>
        </w:rPr>
        <w:t>zbog zastarjelosti i neupotrebljivosti rashodovalo imovinu</w:t>
      </w:r>
      <w:r w:rsidR="003C4061">
        <w:rPr>
          <w:rFonts w:ascii="Calibri" w:eastAsia="Times New Roman" w:hAnsi="Calibri" w:cs="Times New Roman"/>
          <w:bCs/>
          <w:iCs/>
          <w:sz w:val="24"/>
          <w:szCs w:val="24"/>
        </w:rPr>
        <w:t xml:space="preserve"> </w:t>
      </w:r>
      <w:r w:rsidR="001176CD" w:rsidRPr="00FA3619">
        <w:rPr>
          <w:rFonts w:ascii="Calibri" w:eastAsia="Times New Roman" w:hAnsi="Calibri" w:cs="Times New Roman"/>
          <w:bCs/>
          <w:iCs/>
          <w:sz w:val="24"/>
          <w:szCs w:val="24"/>
        </w:rPr>
        <w:t xml:space="preserve">nabavne vrijednosti </w:t>
      </w:r>
      <w:r w:rsidR="00D854BC" w:rsidRPr="00FA3619">
        <w:rPr>
          <w:rFonts w:ascii="Calibri" w:eastAsia="Times New Roman" w:hAnsi="Calibri" w:cs="Times New Roman"/>
          <w:bCs/>
          <w:iCs/>
          <w:sz w:val="24"/>
          <w:szCs w:val="24"/>
        </w:rPr>
        <w:t>861.742,86</w:t>
      </w:r>
      <w:r w:rsidRPr="00FA3619">
        <w:rPr>
          <w:rFonts w:ascii="Calibri" w:eastAsia="Times New Roman" w:hAnsi="Calibri" w:cs="Times New Roman"/>
          <w:bCs/>
          <w:iCs/>
          <w:sz w:val="24"/>
          <w:szCs w:val="24"/>
        </w:rPr>
        <w:t xml:space="preserve"> kn</w:t>
      </w:r>
      <w:r w:rsidR="001176CD" w:rsidRPr="00FA3619">
        <w:rPr>
          <w:rFonts w:ascii="Calibri" w:eastAsia="Times New Roman" w:hAnsi="Calibri" w:cs="Times New Roman"/>
          <w:bCs/>
          <w:iCs/>
          <w:sz w:val="24"/>
          <w:szCs w:val="24"/>
        </w:rPr>
        <w:t xml:space="preserve"> i</w:t>
      </w:r>
      <w:r w:rsidRPr="00FA3619">
        <w:rPr>
          <w:rFonts w:ascii="Calibri" w:eastAsia="Times New Roman" w:hAnsi="Calibri" w:cs="Times New Roman"/>
          <w:bCs/>
          <w:iCs/>
          <w:sz w:val="24"/>
          <w:szCs w:val="24"/>
        </w:rPr>
        <w:t xml:space="preserve"> ispravka vrijednosti </w:t>
      </w:r>
      <w:r w:rsidR="00D854BC" w:rsidRPr="00FA3619">
        <w:rPr>
          <w:rFonts w:ascii="Calibri" w:eastAsia="Times New Roman" w:hAnsi="Calibri" w:cs="Times New Roman"/>
          <w:bCs/>
          <w:iCs/>
          <w:sz w:val="24"/>
          <w:szCs w:val="24"/>
        </w:rPr>
        <w:t>854.204,84</w:t>
      </w:r>
      <w:r w:rsidRPr="00FA3619">
        <w:rPr>
          <w:rFonts w:ascii="Calibri" w:eastAsia="Times New Roman" w:hAnsi="Calibri" w:cs="Times New Roman"/>
          <w:bCs/>
          <w:iCs/>
          <w:sz w:val="24"/>
          <w:szCs w:val="24"/>
        </w:rPr>
        <w:t xml:space="preserve"> kn. Neotpisana vrijednost rashodovane imovine u iznosu od </w:t>
      </w:r>
      <w:r w:rsidR="00D854BC" w:rsidRPr="00FA3619">
        <w:rPr>
          <w:rFonts w:ascii="Calibri" w:eastAsia="Times New Roman" w:hAnsi="Calibri" w:cs="Times New Roman"/>
          <w:bCs/>
          <w:iCs/>
          <w:sz w:val="24"/>
          <w:szCs w:val="24"/>
        </w:rPr>
        <w:t>7.538,02</w:t>
      </w:r>
      <w:r w:rsidR="0096111B" w:rsidRPr="00FA3619">
        <w:rPr>
          <w:rFonts w:ascii="Calibri" w:eastAsia="Times New Roman" w:hAnsi="Calibri" w:cs="Times New Roman"/>
          <w:sz w:val="24"/>
          <w:szCs w:val="24"/>
        </w:rPr>
        <w:t xml:space="preserve"> kn</w:t>
      </w:r>
      <w:r w:rsidRPr="00FA3619">
        <w:rPr>
          <w:rFonts w:ascii="Calibri" w:eastAsia="Times New Roman" w:hAnsi="Calibri" w:cs="Times New Roman"/>
          <w:bCs/>
          <w:iCs/>
          <w:sz w:val="24"/>
          <w:szCs w:val="24"/>
        </w:rPr>
        <w:t xml:space="preserve"> teretila je rashode (Bilješka 4.6.). </w:t>
      </w:r>
    </w:p>
    <w:p w14:paraId="2676981D" w14:textId="10E4DB53" w:rsidR="008E560F" w:rsidRDefault="008E560F" w:rsidP="003442D8">
      <w:pPr>
        <w:spacing w:after="0" w:line="240" w:lineRule="auto"/>
        <w:ind w:right="92"/>
        <w:jc w:val="both"/>
        <w:rPr>
          <w:rFonts w:ascii="Calibri" w:eastAsia="Times New Roman" w:hAnsi="Calibri" w:cs="Times New Roman"/>
          <w:iCs/>
          <w:sz w:val="24"/>
          <w:szCs w:val="24"/>
        </w:rPr>
      </w:pPr>
    </w:p>
    <w:p w14:paraId="36BECAFB" w14:textId="77777777" w:rsidR="00BE39F7" w:rsidRDefault="00BE39F7" w:rsidP="003442D8">
      <w:pPr>
        <w:spacing w:after="0" w:line="240" w:lineRule="auto"/>
        <w:ind w:right="92"/>
        <w:jc w:val="both"/>
        <w:rPr>
          <w:rFonts w:ascii="Calibri" w:eastAsia="Times New Roman" w:hAnsi="Calibri" w:cs="Times New Roman"/>
          <w:iCs/>
          <w:sz w:val="24"/>
          <w:szCs w:val="24"/>
        </w:rPr>
      </w:pPr>
    </w:p>
    <w:p w14:paraId="5A0B8941" w14:textId="77777777" w:rsidR="00437306" w:rsidRPr="00FA3619" w:rsidRDefault="00437306" w:rsidP="003442D8">
      <w:pPr>
        <w:spacing w:after="0" w:line="240" w:lineRule="auto"/>
        <w:ind w:right="92"/>
        <w:jc w:val="both"/>
        <w:rPr>
          <w:rFonts w:ascii="Calibri" w:eastAsia="Times New Roman" w:hAnsi="Calibri" w:cs="Times New Roman"/>
          <w:iCs/>
          <w:sz w:val="24"/>
          <w:szCs w:val="24"/>
        </w:rPr>
      </w:pPr>
    </w:p>
    <w:p w14:paraId="2EB6631C"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PREDUJMOVI ZA MATERIJALNU IMOVINU</w:t>
      </w:r>
    </w:p>
    <w:p w14:paraId="2604E318"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2488D2DB" w14:textId="17A4EE75" w:rsidR="003442D8" w:rsidRPr="00FA3619" w:rsidRDefault="0096111B"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Na dan 31. prosinca 20</w:t>
      </w:r>
      <w:r w:rsidR="00680A3B" w:rsidRPr="00FA3619">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xml:space="preserve">. godine Društvo iskazuje predujmove za materijalnu imovinu u iznosu od </w:t>
      </w:r>
      <w:r w:rsidR="00680A3B" w:rsidRPr="00FA3619">
        <w:rPr>
          <w:rFonts w:ascii="Calibri" w:eastAsia="Times New Roman" w:hAnsi="Calibri" w:cs="Times New Roman"/>
          <w:iCs/>
          <w:sz w:val="24"/>
          <w:szCs w:val="24"/>
        </w:rPr>
        <w:t>5.968.071,45</w:t>
      </w:r>
      <w:r w:rsidR="003442D8" w:rsidRPr="00FA3619">
        <w:rPr>
          <w:rFonts w:ascii="Calibri" w:eastAsia="Times New Roman" w:hAnsi="Calibri" w:cs="Times New Roman"/>
          <w:iCs/>
          <w:sz w:val="24"/>
          <w:szCs w:val="24"/>
        </w:rPr>
        <w:t xml:space="preserve"> kn , a odnose se na sljedeće predujmove:</w:t>
      </w:r>
    </w:p>
    <w:p w14:paraId="300DEBCF" w14:textId="77777777" w:rsidR="008E560F" w:rsidRPr="00FA3619" w:rsidRDefault="008E560F" w:rsidP="003442D8">
      <w:pPr>
        <w:spacing w:after="0" w:line="240" w:lineRule="auto"/>
        <w:ind w:right="92"/>
        <w:jc w:val="both"/>
        <w:rPr>
          <w:rFonts w:ascii="Calibri" w:eastAsia="Times New Roman" w:hAnsi="Calibri" w:cs="Times New Roman"/>
          <w:iCs/>
          <w:sz w:val="24"/>
          <w:szCs w:val="24"/>
        </w:rPr>
      </w:pPr>
    </w:p>
    <w:p w14:paraId="211C2C48"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iCs/>
          <w:sz w:val="24"/>
          <w:szCs w:val="24"/>
        </w:rPr>
        <w:t>/i/</w:t>
      </w:r>
      <w:r w:rsidRPr="00FA3619">
        <w:rPr>
          <w:rFonts w:ascii="Calibri" w:eastAsia="Times New Roman" w:hAnsi="Calibri" w:cs="Times New Roman"/>
          <w:iCs/>
          <w:sz w:val="24"/>
          <w:szCs w:val="24"/>
        </w:rPr>
        <w:tab/>
        <w:t xml:space="preserve">Iznos od 5.768.880,80 kn odnosi se na predujam dan INI d.d. </w:t>
      </w:r>
    </w:p>
    <w:p w14:paraId="50DB95F4" w14:textId="77777777" w:rsidR="003442D8" w:rsidRPr="00FA3619" w:rsidRDefault="003442D8" w:rsidP="003442D8">
      <w:pPr>
        <w:spacing w:after="0" w:line="240" w:lineRule="auto"/>
        <w:jc w:val="both"/>
        <w:rPr>
          <w:rFonts w:ascii="Calibri" w:eastAsia="Times New Roman" w:hAnsi="Calibri" w:cs="Times New Roman"/>
          <w:sz w:val="24"/>
          <w:szCs w:val="24"/>
        </w:rPr>
      </w:pPr>
      <w:r w:rsidRPr="00FA3619">
        <w:rPr>
          <w:rFonts w:ascii="Calibri" w:eastAsia="Times New Roman" w:hAnsi="Calibri" w:cs="Times New Roman"/>
          <w:sz w:val="24"/>
          <w:szCs w:val="24"/>
        </w:rPr>
        <w:t>Društvo je s INA-INDUSTRIJOM NAFTE d.d. zaključilo Ugovor o prodaji postojećih građevina (cjevovoda) koji predstavljaju dugotrajnu imovinu INE i njihovo unošenje u javni vodoopskrbni sustav kojim upravlja Društvo. Ugovor je potpisan 12. prosinca 2003. godine, a Dodatak 06. ožujka 2007. godine. Ukupna procijenjena vrijednost cjevovoda od 1.000.783,50 EUR umanjena je za smanjenje vrijednosti cjevovoda (amortizaciju) i trošak sanacije u vrijednosti od 86.765,11 EUR. U siječnju 2011. godine Ponikve d.o.o. uputilo je zahtjev INI d.d. za primopredaju cjevovoda, ali do dana pisanja Bilješki nije uspjelo riješiti prijenos cjevovoda koji je u funkciji preuzimanja vode s kopna i opskrbe vodoopskrbe otoka.</w:t>
      </w:r>
    </w:p>
    <w:p w14:paraId="13149CA4" w14:textId="77777777" w:rsidR="003442D8" w:rsidRPr="00FA3619" w:rsidRDefault="003442D8" w:rsidP="003442D8">
      <w:pPr>
        <w:spacing w:after="0" w:line="240" w:lineRule="auto"/>
        <w:jc w:val="both"/>
        <w:rPr>
          <w:rFonts w:ascii="Calibri" w:eastAsia="Times New Roman" w:hAnsi="Calibri" w:cs="Times New Roman"/>
          <w:sz w:val="24"/>
          <w:szCs w:val="24"/>
        </w:rPr>
      </w:pPr>
    </w:p>
    <w:p w14:paraId="18CA01BE" w14:textId="47BA0F92" w:rsidR="003442D8" w:rsidRPr="008F425B" w:rsidRDefault="003442D8" w:rsidP="003442D8">
      <w:pPr>
        <w:spacing w:after="0" w:line="240" w:lineRule="auto"/>
        <w:contextualSpacing/>
        <w:jc w:val="both"/>
        <w:rPr>
          <w:rFonts w:ascii="Calibri" w:eastAsia="Times New Roman" w:hAnsi="Calibri" w:cs="Times New Roman"/>
          <w:sz w:val="24"/>
          <w:szCs w:val="24"/>
        </w:rPr>
      </w:pPr>
      <w:r w:rsidRPr="00FA3619">
        <w:rPr>
          <w:rFonts w:ascii="Calibri" w:eastAsia="Times New Roman" w:hAnsi="Calibri" w:cs="Times New Roman"/>
          <w:b/>
          <w:sz w:val="24"/>
          <w:szCs w:val="24"/>
        </w:rPr>
        <w:t>/ii/</w:t>
      </w:r>
      <w:r w:rsidR="0096111B" w:rsidRPr="00FA3619">
        <w:rPr>
          <w:rFonts w:ascii="Calibri" w:eastAsia="Times New Roman" w:hAnsi="Calibri" w:cs="Times New Roman"/>
          <w:sz w:val="24"/>
          <w:szCs w:val="24"/>
        </w:rPr>
        <w:tab/>
      </w:r>
      <w:r w:rsidRPr="00FA3619">
        <w:rPr>
          <w:rFonts w:ascii="Calibri" w:eastAsia="Times New Roman" w:hAnsi="Calibri" w:cs="Times New Roman"/>
          <w:sz w:val="24"/>
          <w:szCs w:val="24"/>
        </w:rPr>
        <w:t xml:space="preserve">Iznos od </w:t>
      </w:r>
      <w:r w:rsidR="004D26BB" w:rsidRPr="00FA3619">
        <w:rPr>
          <w:rFonts w:ascii="Calibri" w:eastAsia="Times New Roman" w:hAnsi="Calibri" w:cs="Times New Roman"/>
          <w:sz w:val="24"/>
          <w:szCs w:val="24"/>
        </w:rPr>
        <w:t>199.190,65</w:t>
      </w:r>
      <w:r w:rsidRPr="00FA3619">
        <w:rPr>
          <w:rFonts w:ascii="Calibri" w:eastAsia="Times New Roman" w:hAnsi="Calibri" w:cs="Times New Roman"/>
          <w:sz w:val="24"/>
          <w:szCs w:val="24"/>
        </w:rPr>
        <w:t xml:space="preserve"> </w:t>
      </w:r>
      <w:r w:rsidR="001F5C5D" w:rsidRPr="00FA3619">
        <w:rPr>
          <w:rFonts w:ascii="Calibri" w:eastAsia="Times New Roman" w:hAnsi="Calibri" w:cs="Times New Roman"/>
          <w:sz w:val="24"/>
          <w:szCs w:val="24"/>
        </w:rPr>
        <w:t>kn</w:t>
      </w:r>
      <w:r w:rsidRPr="00FA3619">
        <w:rPr>
          <w:rFonts w:ascii="Calibri" w:eastAsia="Times New Roman" w:hAnsi="Calibri" w:cs="Times New Roman"/>
          <w:sz w:val="24"/>
          <w:szCs w:val="24"/>
        </w:rPr>
        <w:t xml:space="preserve"> odnosi se na</w:t>
      </w:r>
      <w:r w:rsidR="007541DD" w:rsidRPr="00FA3619">
        <w:rPr>
          <w:rFonts w:ascii="Calibri" w:eastAsia="Times New Roman" w:hAnsi="Calibri" w:cs="Times New Roman"/>
          <w:sz w:val="24"/>
          <w:szCs w:val="24"/>
        </w:rPr>
        <w:t xml:space="preserve"> </w:t>
      </w:r>
      <w:r w:rsidRPr="00FA3619">
        <w:rPr>
          <w:rFonts w:ascii="Calibri" w:eastAsia="Times New Roman" w:hAnsi="Calibri" w:cs="Times New Roman"/>
          <w:sz w:val="24"/>
          <w:szCs w:val="24"/>
        </w:rPr>
        <w:t>predujam dan na osnovu Ugovora sklopljenog s WYG savjetovanje d.o.o. i Institut IGH za usluge nadzora EU projekta</w:t>
      </w:r>
      <w:r w:rsidR="0096111B" w:rsidRPr="00FA3619">
        <w:rPr>
          <w:rFonts w:ascii="Calibri" w:eastAsia="Times New Roman" w:hAnsi="Calibri" w:cs="Times New Roman"/>
          <w:sz w:val="24"/>
          <w:szCs w:val="24"/>
        </w:rPr>
        <w:t>.</w:t>
      </w:r>
      <w:r w:rsidRPr="008F425B">
        <w:rPr>
          <w:rFonts w:ascii="Calibri" w:eastAsia="Times New Roman" w:hAnsi="Calibri" w:cs="Times New Roman"/>
          <w:sz w:val="24"/>
          <w:szCs w:val="24"/>
        </w:rPr>
        <w:t xml:space="preserve"> </w:t>
      </w:r>
    </w:p>
    <w:p w14:paraId="18B1986A" w14:textId="40D9D641" w:rsidR="00C15FEB" w:rsidRDefault="00C15FEB" w:rsidP="003442D8">
      <w:pPr>
        <w:spacing w:after="0" w:line="240" w:lineRule="auto"/>
        <w:ind w:right="92"/>
        <w:jc w:val="both"/>
        <w:rPr>
          <w:rFonts w:ascii="Calibri" w:eastAsia="Times New Roman" w:hAnsi="Calibri" w:cs="Times New Roman"/>
          <w:iCs/>
          <w:sz w:val="24"/>
          <w:szCs w:val="24"/>
        </w:rPr>
      </w:pPr>
    </w:p>
    <w:p w14:paraId="0A876F56" w14:textId="6EB4A570" w:rsidR="00080871" w:rsidRDefault="00080871" w:rsidP="00080871">
      <w:pPr>
        <w:spacing w:after="0" w:line="240" w:lineRule="auto"/>
        <w:ind w:right="92"/>
        <w:jc w:val="both"/>
        <w:rPr>
          <w:rFonts w:ascii="Calibri" w:eastAsia="Times New Roman" w:hAnsi="Calibri" w:cs="Times New Roman"/>
          <w:iCs/>
          <w:sz w:val="24"/>
          <w:szCs w:val="24"/>
        </w:rPr>
      </w:pPr>
    </w:p>
    <w:p w14:paraId="233BAC08" w14:textId="77777777" w:rsidR="00BE39F7" w:rsidRPr="00080871" w:rsidRDefault="00BE39F7" w:rsidP="00080871">
      <w:pPr>
        <w:spacing w:after="0" w:line="240" w:lineRule="auto"/>
        <w:ind w:right="92"/>
        <w:jc w:val="both"/>
        <w:rPr>
          <w:rFonts w:ascii="Calibri" w:eastAsia="Times New Roman" w:hAnsi="Calibri" w:cs="Times New Roman"/>
          <w:iCs/>
          <w:sz w:val="24"/>
          <w:szCs w:val="24"/>
        </w:rPr>
      </w:pPr>
    </w:p>
    <w:p w14:paraId="08C6EBF8" w14:textId="01E137CD" w:rsidR="00080871" w:rsidRPr="00AD0D10" w:rsidRDefault="00080871"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DUGOTRAJNA FINANCIJSKA IMOVINA</w:t>
      </w:r>
    </w:p>
    <w:p w14:paraId="525745A3" w14:textId="77777777" w:rsidR="00080871" w:rsidRPr="006F6EFB" w:rsidRDefault="00080871" w:rsidP="00080871">
      <w:pPr>
        <w:spacing w:after="0" w:line="240" w:lineRule="auto"/>
        <w:ind w:right="92"/>
        <w:jc w:val="both"/>
        <w:rPr>
          <w:rFonts w:ascii="Calibri" w:eastAsia="Times New Roman" w:hAnsi="Calibri" w:cs="Times New Roman"/>
          <w:iCs/>
          <w:sz w:val="24"/>
          <w:szCs w:val="24"/>
        </w:rPr>
      </w:pPr>
    </w:p>
    <w:p w14:paraId="79174F0F" w14:textId="3ED1A2B0" w:rsidR="00080871" w:rsidRPr="00080871" w:rsidRDefault="00080871" w:rsidP="00080871">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Društvo ima udjele u Ponikve usluga d.o.o. u iznosu od 673.600,00 kn ili 15% temeljnog kapitala.</w:t>
      </w:r>
    </w:p>
    <w:p w14:paraId="0E40F248" w14:textId="43436993" w:rsidR="00080871" w:rsidRDefault="00080871" w:rsidP="00080871">
      <w:pPr>
        <w:spacing w:after="0" w:line="240" w:lineRule="auto"/>
        <w:ind w:right="92"/>
        <w:jc w:val="both"/>
        <w:rPr>
          <w:rFonts w:ascii="Calibri" w:eastAsia="Times New Roman" w:hAnsi="Calibri" w:cs="Times New Roman"/>
          <w:iCs/>
          <w:sz w:val="24"/>
          <w:szCs w:val="24"/>
        </w:rPr>
      </w:pPr>
    </w:p>
    <w:p w14:paraId="0C360EDD" w14:textId="77777777" w:rsidR="00BE39F7" w:rsidRPr="00080871" w:rsidRDefault="00BE39F7" w:rsidP="00080871">
      <w:pPr>
        <w:spacing w:after="0" w:line="240" w:lineRule="auto"/>
        <w:ind w:right="92"/>
        <w:jc w:val="both"/>
        <w:rPr>
          <w:rFonts w:ascii="Calibri" w:eastAsia="Times New Roman" w:hAnsi="Calibri" w:cs="Times New Roman"/>
          <w:iCs/>
          <w:sz w:val="24"/>
          <w:szCs w:val="24"/>
        </w:rPr>
      </w:pPr>
    </w:p>
    <w:p w14:paraId="7030CB6F" w14:textId="77777777" w:rsidR="009E3411" w:rsidRPr="008F425B" w:rsidRDefault="009E3411" w:rsidP="003442D8">
      <w:pPr>
        <w:spacing w:after="0" w:line="240" w:lineRule="auto"/>
        <w:ind w:right="92"/>
        <w:jc w:val="both"/>
        <w:rPr>
          <w:rFonts w:ascii="Calibri" w:eastAsia="Times New Roman" w:hAnsi="Calibri" w:cs="Times New Roman"/>
          <w:iCs/>
          <w:sz w:val="24"/>
          <w:szCs w:val="24"/>
        </w:rPr>
      </w:pPr>
    </w:p>
    <w:p w14:paraId="1AF9529E" w14:textId="2E6A759E"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ZALIHE</w:t>
      </w:r>
    </w:p>
    <w:p w14:paraId="69E34373" w14:textId="77777777" w:rsidR="003442D8" w:rsidRPr="00FA3619" w:rsidRDefault="003442D8" w:rsidP="003442D8">
      <w:pPr>
        <w:spacing w:after="0" w:line="240" w:lineRule="auto"/>
        <w:ind w:right="92" w:firstLine="708"/>
        <w:jc w:val="both"/>
        <w:rPr>
          <w:rFonts w:ascii="Calibri" w:eastAsia="Times New Roman" w:hAnsi="Calibri" w:cs="Times New Roman"/>
          <w:iCs/>
          <w:sz w:val="20"/>
          <w:szCs w:val="20"/>
        </w:rPr>
      </w:pPr>
    </w:p>
    <w:p w14:paraId="4E9F7AA1" w14:textId="45D7C185" w:rsidR="003442D8"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Zalihe sadrže vodovodni i kanalizacijski materijal u ukupnom iznosu </w:t>
      </w:r>
      <w:r w:rsidR="00D61D06" w:rsidRPr="00FA3619">
        <w:rPr>
          <w:rFonts w:ascii="Calibri" w:eastAsia="Times New Roman" w:hAnsi="Calibri" w:cs="Times New Roman"/>
          <w:iCs/>
          <w:sz w:val="24"/>
          <w:szCs w:val="24"/>
        </w:rPr>
        <w:t>2</w:t>
      </w:r>
      <w:r w:rsidR="007541DD" w:rsidRPr="00FA3619">
        <w:rPr>
          <w:rFonts w:ascii="Calibri" w:eastAsia="Times New Roman" w:hAnsi="Calibri" w:cs="Times New Roman"/>
          <w:iCs/>
          <w:sz w:val="24"/>
          <w:szCs w:val="24"/>
        </w:rPr>
        <w:t>.</w:t>
      </w:r>
      <w:r w:rsidR="00D61D06" w:rsidRPr="00FA3619">
        <w:rPr>
          <w:rFonts w:ascii="Calibri" w:eastAsia="Times New Roman" w:hAnsi="Calibri" w:cs="Times New Roman"/>
          <w:iCs/>
          <w:sz w:val="24"/>
          <w:szCs w:val="24"/>
        </w:rPr>
        <w:t>713.409,43</w:t>
      </w:r>
      <w:r w:rsidR="002C2945" w:rsidRPr="00FA3619">
        <w:rPr>
          <w:rFonts w:ascii="Calibri" w:eastAsia="Times New Roman" w:hAnsi="Calibri" w:cs="Times New Roman"/>
          <w:iCs/>
          <w:sz w:val="24"/>
          <w:szCs w:val="24"/>
        </w:rPr>
        <w:t xml:space="preserve"> </w:t>
      </w:r>
      <w:r w:rsidR="0096111B" w:rsidRPr="00FA3619">
        <w:rPr>
          <w:rFonts w:ascii="Calibri" w:eastAsia="Times New Roman" w:hAnsi="Calibri" w:cs="Times New Roman"/>
          <w:iCs/>
          <w:sz w:val="24"/>
          <w:szCs w:val="24"/>
        </w:rPr>
        <w:t>kn (201</w:t>
      </w:r>
      <w:r w:rsidR="00D61D06" w:rsidRPr="00FA3619">
        <w:rPr>
          <w:rFonts w:ascii="Calibri" w:eastAsia="Times New Roman" w:hAnsi="Calibri" w:cs="Times New Roman"/>
          <w:iCs/>
          <w:sz w:val="24"/>
          <w:szCs w:val="24"/>
        </w:rPr>
        <w:t>9</w:t>
      </w:r>
      <w:r w:rsidRPr="00FA3619">
        <w:rPr>
          <w:rFonts w:ascii="Calibri" w:eastAsia="Times New Roman" w:hAnsi="Calibri" w:cs="Times New Roman"/>
          <w:iCs/>
          <w:sz w:val="24"/>
          <w:szCs w:val="24"/>
        </w:rPr>
        <w:t xml:space="preserve">. godine </w:t>
      </w:r>
      <w:r w:rsidR="0096111B" w:rsidRPr="00FA3619">
        <w:rPr>
          <w:rFonts w:ascii="Calibri" w:eastAsia="Times New Roman" w:hAnsi="Calibri" w:cs="Times New Roman"/>
          <w:iCs/>
          <w:sz w:val="24"/>
          <w:szCs w:val="24"/>
        </w:rPr>
        <w:t>3.</w:t>
      </w:r>
      <w:r w:rsidR="00D61D06" w:rsidRPr="00FA3619">
        <w:rPr>
          <w:rFonts w:ascii="Calibri" w:eastAsia="Times New Roman" w:hAnsi="Calibri" w:cs="Times New Roman"/>
          <w:iCs/>
          <w:sz w:val="24"/>
          <w:szCs w:val="24"/>
        </w:rPr>
        <w:t>609</w:t>
      </w:r>
      <w:r w:rsidR="0096111B" w:rsidRPr="00FA3619">
        <w:rPr>
          <w:rFonts w:ascii="Calibri" w:eastAsia="Times New Roman" w:hAnsi="Calibri" w:cs="Times New Roman"/>
          <w:iCs/>
          <w:sz w:val="24"/>
          <w:szCs w:val="24"/>
        </w:rPr>
        <w:t>.</w:t>
      </w:r>
      <w:r w:rsidR="00D61D06" w:rsidRPr="00FA3619">
        <w:rPr>
          <w:rFonts w:ascii="Calibri" w:eastAsia="Times New Roman" w:hAnsi="Calibri" w:cs="Times New Roman"/>
          <w:iCs/>
          <w:sz w:val="24"/>
          <w:szCs w:val="24"/>
        </w:rPr>
        <w:t>445</w:t>
      </w:r>
      <w:r w:rsidR="0096111B" w:rsidRPr="00FA3619">
        <w:rPr>
          <w:rFonts w:ascii="Calibri" w:eastAsia="Times New Roman" w:hAnsi="Calibri" w:cs="Times New Roman"/>
          <w:iCs/>
          <w:sz w:val="24"/>
          <w:szCs w:val="24"/>
        </w:rPr>
        <w:t>,</w:t>
      </w:r>
      <w:r w:rsidR="00D61D06" w:rsidRPr="00FA3619">
        <w:rPr>
          <w:rFonts w:ascii="Calibri" w:eastAsia="Times New Roman" w:hAnsi="Calibri" w:cs="Times New Roman"/>
          <w:iCs/>
          <w:sz w:val="24"/>
          <w:szCs w:val="24"/>
        </w:rPr>
        <w:t>53</w:t>
      </w:r>
      <w:r w:rsidRPr="00FA3619">
        <w:rPr>
          <w:rFonts w:ascii="Calibri" w:eastAsia="Times New Roman" w:hAnsi="Calibri" w:cs="Times New Roman"/>
          <w:iCs/>
          <w:sz w:val="24"/>
          <w:szCs w:val="24"/>
        </w:rPr>
        <w:t xml:space="preserve"> kn).</w:t>
      </w:r>
      <w:r w:rsidR="003C4061">
        <w:rPr>
          <w:rFonts w:ascii="Calibri" w:eastAsia="Times New Roman" w:hAnsi="Calibri" w:cs="Times New Roman"/>
          <w:iCs/>
          <w:sz w:val="24"/>
          <w:szCs w:val="24"/>
        </w:rPr>
        <w:t xml:space="preserve"> Predujmovi za zalihe iznose 13.294,70 kn (2019. godina 15.949,09 kn).</w:t>
      </w:r>
    </w:p>
    <w:p w14:paraId="0127DD38" w14:textId="507DD221" w:rsidR="009434B5" w:rsidRDefault="009434B5" w:rsidP="003442D8">
      <w:pPr>
        <w:spacing w:after="0" w:line="240" w:lineRule="auto"/>
        <w:ind w:right="92"/>
        <w:jc w:val="both"/>
        <w:rPr>
          <w:rFonts w:ascii="Calibri" w:eastAsia="Times New Roman" w:hAnsi="Calibri" w:cs="Times New Roman"/>
          <w:iCs/>
          <w:sz w:val="24"/>
          <w:szCs w:val="24"/>
        </w:rPr>
      </w:pPr>
    </w:p>
    <w:p w14:paraId="05F318C1" w14:textId="77777777" w:rsidR="00BE39F7" w:rsidRPr="008F425B" w:rsidRDefault="00BE39F7" w:rsidP="003442D8">
      <w:pPr>
        <w:spacing w:after="0" w:line="240" w:lineRule="auto"/>
        <w:ind w:right="92"/>
        <w:jc w:val="both"/>
        <w:rPr>
          <w:rFonts w:ascii="Calibri" w:eastAsia="Times New Roman" w:hAnsi="Calibri" w:cs="Times New Roman"/>
          <w:iCs/>
          <w:sz w:val="24"/>
          <w:szCs w:val="24"/>
        </w:rPr>
      </w:pPr>
    </w:p>
    <w:p w14:paraId="573042E3"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431E609B"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POTRAŽIVANJA OD KUPACA</w:t>
      </w:r>
    </w:p>
    <w:p w14:paraId="7F6CDFC3" w14:textId="77777777" w:rsidR="003442D8" w:rsidRPr="004F4F65" w:rsidRDefault="003442D8" w:rsidP="003442D8">
      <w:pPr>
        <w:spacing w:after="0" w:line="240" w:lineRule="auto"/>
        <w:ind w:left="900" w:right="92"/>
        <w:jc w:val="both"/>
        <w:rPr>
          <w:rFonts w:ascii="Calibri" w:eastAsia="Times New Roman" w:hAnsi="Calibri" w:cs="Times New Roman"/>
          <w:iCs/>
          <w:sz w:val="20"/>
          <w:szCs w:val="20"/>
        </w:rPr>
      </w:pPr>
    </w:p>
    <w:p w14:paraId="3C1F8417" w14:textId="77777777" w:rsidR="00DF679C" w:rsidRPr="004F4F65" w:rsidRDefault="003442D8" w:rsidP="003442D8">
      <w:pPr>
        <w:spacing w:after="0" w:line="240" w:lineRule="auto"/>
        <w:ind w:right="92"/>
        <w:jc w:val="both"/>
        <w:rPr>
          <w:rFonts w:ascii="Calibri" w:eastAsia="Times New Roman" w:hAnsi="Calibri" w:cs="Times New Roman"/>
          <w:iCs/>
          <w:sz w:val="24"/>
          <w:szCs w:val="24"/>
        </w:rPr>
      </w:pPr>
      <w:r w:rsidRPr="004F4F65">
        <w:rPr>
          <w:rFonts w:ascii="Calibri" w:eastAsia="Times New Roman" w:hAnsi="Calibri" w:cs="Times New Roman"/>
          <w:iCs/>
          <w:sz w:val="24"/>
          <w:szCs w:val="24"/>
        </w:rPr>
        <w:t>Prikazujemo na sljedeći način:</w:t>
      </w:r>
    </w:p>
    <w:p w14:paraId="0ED14AA8" w14:textId="41E65CB6" w:rsidR="003442D8" w:rsidRPr="004F4F65" w:rsidRDefault="00C17027" w:rsidP="003442D8">
      <w:pPr>
        <w:spacing w:after="0" w:line="240" w:lineRule="auto"/>
        <w:ind w:right="92"/>
        <w:jc w:val="both"/>
        <w:rPr>
          <w:rFonts w:ascii="Calibri" w:eastAsia="Times New Roman" w:hAnsi="Calibri" w:cs="Times New Roman"/>
          <w:iCs/>
          <w:sz w:val="24"/>
          <w:szCs w:val="24"/>
        </w:rPr>
      </w:pPr>
      <w:r w:rsidRPr="004F4F65">
        <w:rPr>
          <w:iCs/>
        </w:rPr>
        <w:t xml:space="preserve"> </w:t>
      </w:r>
      <w:bookmarkStart w:id="27" w:name="_MON_1647668527"/>
      <w:bookmarkEnd w:id="27"/>
      <w:r w:rsidR="003C4061" w:rsidRPr="004F4F65">
        <w:rPr>
          <w:iCs/>
        </w:rPr>
        <w:object w:dxaOrig="8191" w:dyaOrig="3819" w14:anchorId="50BA858B">
          <v:shape id="_x0000_i1034" type="#_x0000_t75" style="width:410.25pt;height:210pt" o:ole="">
            <v:imagedata r:id="rId29" o:title=""/>
          </v:shape>
          <o:OLEObject Type="Embed" ProgID="Excel.Sheet.12" ShapeID="_x0000_i1034" DrawAspect="Content" ObjectID="_1684915227" r:id="rId30"/>
        </w:object>
      </w:r>
    </w:p>
    <w:p w14:paraId="42D3B866" w14:textId="77777777" w:rsidR="00437306" w:rsidRDefault="00437306" w:rsidP="003442D8">
      <w:pPr>
        <w:spacing w:after="0" w:line="240" w:lineRule="auto"/>
        <w:jc w:val="both"/>
        <w:rPr>
          <w:rFonts w:ascii="Calibri" w:eastAsia="Times New Roman" w:hAnsi="Calibri" w:cs="Times New Roman"/>
          <w:b/>
          <w:sz w:val="24"/>
          <w:szCs w:val="24"/>
        </w:rPr>
      </w:pPr>
    </w:p>
    <w:p w14:paraId="1EA8179A" w14:textId="60FF7260" w:rsidR="003442D8" w:rsidRPr="00464CDA" w:rsidRDefault="003442D8" w:rsidP="003442D8">
      <w:pPr>
        <w:spacing w:after="0" w:line="240" w:lineRule="auto"/>
        <w:jc w:val="both"/>
        <w:rPr>
          <w:rFonts w:ascii="Calibri" w:eastAsia="Times New Roman" w:hAnsi="Calibri" w:cs="Times New Roman"/>
          <w:sz w:val="24"/>
          <w:szCs w:val="24"/>
        </w:rPr>
      </w:pPr>
      <w:r w:rsidRPr="00464CDA">
        <w:rPr>
          <w:rFonts w:ascii="Calibri" w:eastAsia="Times New Roman" w:hAnsi="Calibri" w:cs="Times New Roman"/>
          <w:b/>
          <w:sz w:val="24"/>
          <w:szCs w:val="24"/>
        </w:rPr>
        <w:t>/i/</w:t>
      </w:r>
      <w:r w:rsidRPr="00464CDA">
        <w:rPr>
          <w:rFonts w:ascii="Calibri" w:eastAsia="Times New Roman" w:hAnsi="Calibri" w:cs="Times New Roman"/>
          <w:sz w:val="24"/>
          <w:szCs w:val="24"/>
        </w:rPr>
        <w:tab/>
        <w:t xml:space="preserve">Potraživanja od kupaca odnose se na prodanu vodu i pružene usluge potrošačima. </w:t>
      </w:r>
    </w:p>
    <w:p w14:paraId="319E2A4A" w14:textId="77777777" w:rsidR="008E560F" w:rsidRPr="00464CDA" w:rsidRDefault="008E560F" w:rsidP="003442D8">
      <w:pPr>
        <w:spacing w:after="0" w:line="240" w:lineRule="auto"/>
        <w:jc w:val="both"/>
        <w:rPr>
          <w:rFonts w:ascii="Calibri" w:eastAsia="Times New Roman" w:hAnsi="Calibri" w:cs="Times New Roman"/>
          <w:sz w:val="24"/>
          <w:szCs w:val="24"/>
        </w:rPr>
      </w:pPr>
    </w:p>
    <w:p w14:paraId="1BC92D54" w14:textId="3FD2E664" w:rsidR="003442D8" w:rsidRPr="00464CDA" w:rsidRDefault="003442D8" w:rsidP="003442D8">
      <w:pPr>
        <w:spacing w:after="0" w:line="240" w:lineRule="auto"/>
        <w:jc w:val="both"/>
        <w:rPr>
          <w:rFonts w:ascii="Calibri" w:eastAsia="Times New Roman" w:hAnsi="Calibri" w:cs="Times New Roman"/>
          <w:sz w:val="24"/>
          <w:szCs w:val="24"/>
        </w:rPr>
      </w:pPr>
      <w:r w:rsidRPr="00464CDA">
        <w:rPr>
          <w:rFonts w:ascii="Calibri" w:eastAsia="Times New Roman" w:hAnsi="Calibri" w:cs="Times New Roman"/>
          <w:b/>
          <w:sz w:val="24"/>
          <w:szCs w:val="24"/>
        </w:rPr>
        <w:t>/ii/</w:t>
      </w:r>
      <w:r w:rsidRPr="00464CDA">
        <w:rPr>
          <w:rFonts w:ascii="Calibri" w:eastAsia="Times New Roman" w:hAnsi="Calibri" w:cs="Times New Roman"/>
          <w:sz w:val="24"/>
          <w:szCs w:val="24"/>
        </w:rPr>
        <w:tab/>
        <w:t xml:space="preserve">Dio potraživanja od domaćinstava za isporučenu vodu i zbrinute otpadne vode u iznosu </w:t>
      </w:r>
      <w:r w:rsidR="00464CDA" w:rsidRPr="00464CDA">
        <w:rPr>
          <w:rFonts w:ascii="Calibri" w:eastAsia="Times New Roman" w:hAnsi="Calibri" w:cs="Times New Roman"/>
          <w:sz w:val="24"/>
          <w:szCs w:val="24"/>
        </w:rPr>
        <w:t xml:space="preserve">4.606.409,99 </w:t>
      </w:r>
      <w:r w:rsidRPr="00464CDA">
        <w:rPr>
          <w:rFonts w:ascii="Calibri" w:eastAsia="Times New Roman" w:hAnsi="Calibri" w:cs="Times New Roman"/>
          <w:sz w:val="24"/>
          <w:szCs w:val="24"/>
        </w:rPr>
        <w:t xml:space="preserve">kn odnosi se na potraživanja koja se pojedinačno vode u društvu koje obavlja uslugu objedinjene naplate Ponikve usluga d.o.o. </w:t>
      </w:r>
    </w:p>
    <w:p w14:paraId="0FDCBE32" w14:textId="77777777" w:rsidR="003442D8" w:rsidRPr="00464CDA" w:rsidRDefault="003442D8" w:rsidP="003442D8">
      <w:pPr>
        <w:spacing w:after="0" w:line="240" w:lineRule="auto"/>
        <w:jc w:val="both"/>
        <w:rPr>
          <w:rFonts w:ascii="Calibri" w:eastAsia="Times New Roman" w:hAnsi="Calibri" w:cs="Times New Roman"/>
          <w:sz w:val="24"/>
          <w:szCs w:val="24"/>
        </w:rPr>
      </w:pPr>
    </w:p>
    <w:p w14:paraId="22792D01" w14:textId="1448AA4C" w:rsidR="003442D8" w:rsidRPr="00983452" w:rsidRDefault="003442D8" w:rsidP="003442D8">
      <w:pPr>
        <w:spacing w:after="0" w:line="240" w:lineRule="auto"/>
        <w:jc w:val="both"/>
        <w:rPr>
          <w:rFonts w:ascii="Calibri" w:eastAsia="Times New Roman" w:hAnsi="Calibri" w:cs="Times New Roman"/>
          <w:sz w:val="24"/>
          <w:szCs w:val="24"/>
        </w:rPr>
      </w:pPr>
      <w:r w:rsidRPr="00C00B79">
        <w:rPr>
          <w:rFonts w:ascii="Calibri" w:eastAsia="Times New Roman" w:hAnsi="Calibri" w:cs="Times New Roman"/>
          <w:b/>
          <w:sz w:val="24"/>
          <w:szCs w:val="24"/>
        </w:rPr>
        <w:t>/iii/</w:t>
      </w:r>
      <w:r w:rsidRPr="00C00B79">
        <w:rPr>
          <w:rFonts w:ascii="Calibri" w:eastAsia="Times New Roman" w:hAnsi="Calibri" w:cs="Times New Roman"/>
          <w:sz w:val="24"/>
          <w:szCs w:val="24"/>
        </w:rPr>
        <w:tab/>
        <w:t>U Bil</w:t>
      </w:r>
      <w:r w:rsidR="005A3655" w:rsidRPr="00C00B79">
        <w:rPr>
          <w:rFonts w:ascii="Calibri" w:eastAsia="Times New Roman" w:hAnsi="Calibri" w:cs="Times New Roman"/>
          <w:sz w:val="24"/>
          <w:szCs w:val="24"/>
        </w:rPr>
        <w:t>anci su na dan 31. prosinca 20</w:t>
      </w:r>
      <w:r w:rsidR="0031483B" w:rsidRPr="00C00B79">
        <w:rPr>
          <w:rFonts w:ascii="Calibri" w:eastAsia="Times New Roman" w:hAnsi="Calibri" w:cs="Times New Roman"/>
          <w:sz w:val="24"/>
          <w:szCs w:val="24"/>
        </w:rPr>
        <w:t>20</w:t>
      </w:r>
      <w:r w:rsidRPr="00C00B79">
        <w:rPr>
          <w:rFonts w:ascii="Calibri" w:eastAsia="Times New Roman" w:hAnsi="Calibri" w:cs="Times New Roman"/>
          <w:sz w:val="24"/>
          <w:szCs w:val="24"/>
        </w:rPr>
        <w:t xml:space="preserve">. godine iskazana utužena potraživanja od kupaca, </w:t>
      </w:r>
      <w:r w:rsidRPr="000B022B">
        <w:rPr>
          <w:rFonts w:ascii="Calibri" w:eastAsia="Times New Roman" w:hAnsi="Calibri" w:cs="Times New Roman"/>
          <w:sz w:val="24"/>
          <w:szCs w:val="24"/>
        </w:rPr>
        <w:t xml:space="preserve">potraživanja od kupaca u stečaju i potraživanja od kupaca prijavljena u predstečajnu nagodbu u iznosu od </w:t>
      </w:r>
      <w:r w:rsidR="005A3655" w:rsidRPr="000B022B">
        <w:rPr>
          <w:rFonts w:ascii="Calibri" w:eastAsia="Times New Roman" w:hAnsi="Calibri" w:cs="Times New Roman"/>
          <w:sz w:val="24"/>
          <w:szCs w:val="24"/>
        </w:rPr>
        <w:t>1.</w:t>
      </w:r>
      <w:r w:rsidR="0031483B" w:rsidRPr="000B022B">
        <w:rPr>
          <w:rFonts w:ascii="Calibri" w:eastAsia="Times New Roman" w:hAnsi="Calibri" w:cs="Times New Roman"/>
          <w:sz w:val="24"/>
          <w:szCs w:val="24"/>
        </w:rPr>
        <w:t>492.318,46</w:t>
      </w:r>
      <w:r w:rsidRPr="000B022B">
        <w:rPr>
          <w:rFonts w:ascii="Calibri" w:eastAsia="Times New Roman" w:hAnsi="Calibri" w:cs="Times New Roman"/>
          <w:sz w:val="24"/>
          <w:szCs w:val="24"/>
        </w:rPr>
        <w:t xml:space="preserve"> kn (</w:t>
      </w:r>
      <w:r w:rsidR="0031483B" w:rsidRPr="000B022B">
        <w:rPr>
          <w:rFonts w:ascii="Calibri" w:eastAsia="Times New Roman" w:hAnsi="Calibri" w:cs="Times New Roman"/>
          <w:sz w:val="24"/>
          <w:szCs w:val="24"/>
        </w:rPr>
        <w:t>266</w:t>
      </w:r>
      <w:r w:rsidR="005A3655" w:rsidRPr="000B022B">
        <w:rPr>
          <w:rFonts w:ascii="Calibri" w:eastAsia="Times New Roman" w:hAnsi="Calibri" w:cs="Times New Roman"/>
          <w:sz w:val="24"/>
          <w:szCs w:val="24"/>
        </w:rPr>
        <w:t>.</w:t>
      </w:r>
      <w:r w:rsidR="0031483B" w:rsidRPr="000B022B">
        <w:rPr>
          <w:rFonts w:ascii="Calibri" w:eastAsia="Times New Roman" w:hAnsi="Calibri" w:cs="Times New Roman"/>
          <w:sz w:val="24"/>
          <w:szCs w:val="24"/>
        </w:rPr>
        <w:t>357,14</w:t>
      </w:r>
      <w:r w:rsidRPr="000B022B">
        <w:rPr>
          <w:rFonts w:ascii="Calibri" w:eastAsia="Times New Roman" w:hAnsi="Calibri" w:cs="Times New Roman"/>
          <w:sz w:val="24"/>
          <w:szCs w:val="24"/>
        </w:rPr>
        <w:t xml:space="preserve"> kn odnosi se na potraživanja koja su nakon podjele Društva pripala Ponikve eko otok</w:t>
      </w:r>
      <w:r w:rsidR="004F4F65" w:rsidRPr="000B022B">
        <w:rPr>
          <w:rFonts w:ascii="Calibri" w:eastAsia="Times New Roman" w:hAnsi="Calibri" w:cs="Times New Roman"/>
          <w:sz w:val="24"/>
          <w:szCs w:val="24"/>
        </w:rPr>
        <w:t>u</w:t>
      </w:r>
      <w:r w:rsidRPr="000B022B">
        <w:rPr>
          <w:rFonts w:ascii="Calibri" w:eastAsia="Times New Roman" w:hAnsi="Calibri" w:cs="Times New Roman"/>
          <w:sz w:val="24"/>
          <w:szCs w:val="24"/>
        </w:rPr>
        <w:t xml:space="preserve"> Krku).</w:t>
      </w:r>
      <w:r w:rsidRPr="00983452">
        <w:rPr>
          <w:rFonts w:ascii="Calibri" w:eastAsia="Times New Roman" w:hAnsi="Calibri" w:cs="Times New Roman"/>
          <w:sz w:val="24"/>
          <w:szCs w:val="24"/>
        </w:rPr>
        <w:t xml:space="preserve"> </w:t>
      </w:r>
    </w:p>
    <w:p w14:paraId="1DC0329E" w14:textId="77777777" w:rsidR="003442D8" w:rsidRPr="00983452" w:rsidRDefault="003442D8" w:rsidP="003442D8">
      <w:pPr>
        <w:spacing w:after="0" w:line="240" w:lineRule="auto"/>
        <w:jc w:val="both"/>
        <w:rPr>
          <w:rFonts w:ascii="Calibri" w:eastAsia="Times New Roman" w:hAnsi="Calibri" w:cs="Times New Roman"/>
          <w:sz w:val="24"/>
          <w:szCs w:val="24"/>
        </w:rPr>
      </w:pPr>
    </w:p>
    <w:p w14:paraId="7162942A" w14:textId="3E1CA7F6" w:rsidR="003442D8" w:rsidRPr="00983452" w:rsidRDefault="003442D8" w:rsidP="003442D8">
      <w:pPr>
        <w:spacing w:after="0" w:line="240" w:lineRule="auto"/>
        <w:jc w:val="both"/>
        <w:rPr>
          <w:rFonts w:ascii="Calibri" w:eastAsia="Times New Roman" w:hAnsi="Calibri" w:cs="Times New Roman"/>
          <w:sz w:val="24"/>
          <w:szCs w:val="24"/>
        </w:rPr>
      </w:pPr>
      <w:r w:rsidRPr="00983452">
        <w:rPr>
          <w:rFonts w:ascii="Calibri" w:eastAsia="Times New Roman" w:hAnsi="Calibri" w:cs="Times New Roman"/>
          <w:sz w:val="24"/>
          <w:szCs w:val="24"/>
        </w:rPr>
        <w:t>Kao što je navedeno u Bilješ</w:t>
      </w:r>
      <w:r w:rsidR="005A3655" w:rsidRPr="00983452">
        <w:rPr>
          <w:rFonts w:ascii="Calibri" w:eastAsia="Times New Roman" w:hAnsi="Calibri" w:cs="Times New Roman"/>
          <w:sz w:val="24"/>
          <w:szCs w:val="24"/>
        </w:rPr>
        <w:t>ci 4.5., Društvo je u 20</w:t>
      </w:r>
      <w:r w:rsidR="0031483B" w:rsidRPr="00983452">
        <w:rPr>
          <w:rFonts w:ascii="Calibri" w:eastAsia="Times New Roman" w:hAnsi="Calibri" w:cs="Times New Roman"/>
          <w:sz w:val="24"/>
          <w:szCs w:val="24"/>
        </w:rPr>
        <w:t>20</w:t>
      </w:r>
      <w:r w:rsidRPr="00983452">
        <w:rPr>
          <w:rFonts w:ascii="Calibri" w:eastAsia="Times New Roman" w:hAnsi="Calibri" w:cs="Times New Roman"/>
          <w:sz w:val="24"/>
          <w:szCs w:val="24"/>
        </w:rPr>
        <w:t xml:space="preserve">. godini izvršilo vrijednosno usklađenje utuženih potraživanja u iznosu od </w:t>
      </w:r>
      <w:r w:rsidR="0031483B" w:rsidRPr="00983452">
        <w:rPr>
          <w:rFonts w:ascii="Calibri" w:eastAsia="Times New Roman" w:hAnsi="Calibri" w:cs="Times New Roman"/>
          <w:sz w:val="24"/>
          <w:szCs w:val="24"/>
        </w:rPr>
        <w:t xml:space="preserve">385.221,97 kn </w:t>
      </w:r>
      <w:r w:rsidRPr="00983452">
        <w:rPr>
          <w:rFonts w:ascii="Calibri" w:eastAsia="Times New Roman" w:hAnsi="Calibri" w:cs="Times New Roman"/>
          <w:sz w:val="24"/>
          <w:szCs w:val="24"/>
        </w:rPr>
        <w:t xml:space="preserve">i iskazalo trošak u iznosu od </w:t>
      </w:r>
      <w:r w:rsidR="005A3655" w:rsidRPr="00983452">
        <w:rPr>
          <w:rFonts w:ascii="Calibri" w:eastAsia="Times New Roman" w:hAnsi="Calibri" w:cs="Times New Roman"/>
          <w:sz w:val="24"/>
          <w:szCs w:val="24"/>
        </w:rPr>
        <w:t>29</w:t>
      </w:r>
      <w:r w:rsidR="0031483B" w:rsidRPr="00983452">
        <w:rPr>
          <w:rFonts w:ascii="Calibri" w:eastAsia="Times New Roman" w:hAnsi="Calibri" w:cs="Times New Roman"/>
          <w:sz w:val="24"/>
          <w:szCs w:val="24"/>
        </w:rPr>
        <w:t>4.830,63</w:t>
      </w:r>
      <w:r w:rsidRPr="00983452">
        <w:rPr>
          <w:rFonts w:ascii="Calibri" w:eastAsia="Times New Roman" w:hAnsi="Calibri" w:cs="Times New Roman"/>
          <w:sz w:val="24"/>
          <w:szCs w:val="24"/>
        </w:rPr>
        <w:t xml:space="preserve"> kn, budući je u preostalom iznosu potraživanja sadržan i dio koji nije prihod Društva (naknada za korištenje i zaštitu voda) ili predstavlja odgođeni prihod (naknada za razvoj).</w:t>
      </w:r>
    </w:p>
    <w:p w14:paraId="6DDAF502" w14:textId="5E653E48" w:rsidR="003442D8" w:rsidRPr="00983452" w:rsidRDefault="003442D8" w:rsidP="003442D8">
      <w:pPr>
        <w:spacing w:after="0" w:line="240" w:lineRule="auto"/>
        <w:jc w:val="both"/>
        <w:rPr>
          <w:rFonts w:ascii="Calibri" w:eastAsia="Times New Roman" w:hAnsi="Calibri" w:cs="Times New Roman"/>
          <w:sz w:val="24"/>
          <w:szCs w:val="24"/>
        </w:rPr>
      </w:pPr>
      <w:r w:rsidRPr="00983452">
        <w:rPr>
          <w:rFonts w:ascii="Calibri" w:eastAsia="Times New Roman" w:hAnsi="Calibri" w:cs="Times New Roman"/>
          <w:sz w:val="24"/>
          <w:szCs w:val="24"/>
        </w:rPr>
        <w:t xml:space="preserve">Otpisana su nenaplativa potraživanja u iznosu od </w:t>
      </w:r>
      <w:r w:rsidR="0031483B" w:rsidRPr="00983452">
        <w:rPr>
          <w:rFonts w:ascii="Calibri" w:eastAsia="Times New Roman" w:hAnsi="Calibri" w:cs="Times New Roman"/>
          <w:sz w:val="24"/>
          <w:szCs w:val="24"/>
        </w:rPr>
        <w:t>25.131,68</w:t>
      </w:r>
      <w:r w:rsidRPr="00983452">
        <w:rPr>
          <w:rFonts w:ascii="Calibri" w:eastAsia="Times New Roman" w:hAnsi="Calibri" w:cs="Times New Roman"/>
          <w:sz w:val="24"/>
          <w:szCs w:val="24"/>
        </w:rPr>
        <w:t xml:space="preserve"> kn.</w:t>
      </w:r>
    </w:p>
    <w:p w14:paraId="03F64158" w14:textId="77777777" w:rsidR="003442D8" w:rsidRPr="00983452" w:rsidRDefault="003442D8" w:rsidP="003442D8">
      <w:pPr>
        <w:spacing w:after="0" w:line="240" w:lineRule="auto"/>
        <w:jc w:val="both"/>
        <w:rPr>
          <w:rFonts w:ascii="Calibri" w:eastAsia="Times New Roman" w:hAnsi="Calibri" w:cs="Times New Roman"/>
          <w:sz w:val="24"/>
          <w:szCs w:val="24"/>
        </w:rPr>
      </w:pPr>
    </w:p>
    <w:p w14:paraId="19358AF0" w14:textId="5F7C8B32" w:rsidR="003442D8" w:rsidRPr="000D568F" w:rsidRDefault="003442D8" w:rsidP="003442D8">
      <w:pPr>
        <w:spacing w:after="0" w:line="240" w:lineRule="auto"/>
        <w:jc w:val="both"/>
        <w:rPr>
          <w:rFonts w:ascii="Calibri" w:eastAsia="Times New Roman" w:hAnsi="Calibri" w:cs="Times New Roman"/>
          <w:sz w:val="24"/>
          <w:szCs w:val="24"/>
        </w:rPr>
      </w:pPr>
      <w:bookmarkStart w:id="28" w:name="_Hlk73005445"/>
      <w:r w:rsidRPr="000D568F">
        <w:rPr>
          <w:rFonts w:ascii="Calibri" w:eastAsia="Times New Roman" w:hAnsi="Calibri" w:cs="Times New Roman"/>
          <w:b/>
          <w:sz w:val="24"/>
          <w:szCs w:val="24"/>
        </w:rPr>
        <w:t>/iv/</w:t>
      </w:r>
      <w:r w:rsidRPr="000D568F">
        <w:rPr>
          <w:rFonts w:ascii="Calibri" w:eastAsia="Times New Roman" w:hAnsi="Calibri" w:cs="Times New Roman"/>
          <w:sz w:val="24"/>
          <w:szCs w:val="24"/>
        </w:rPr>
        <w:tab/>
      </w:r>
      <w:r w:rsidR="000D568F" w:rsidRPr="000D568F">
        <w:rPr>
          <w:rFonts w:ascii="Calibri" w:eastAsia="Times New Roman" w:hAnsi="Calibri" w:cs="Times New Roman"/>
          <w:sz w:val="24"/>
          <w:szCs w:val="24"/>
        </w:rPr>
        <w:t>Tijekom godine naplaćen je iznos od 100.037,84 kn vrijednosno usklađenih potraživanja iz prethodnih godina, od 8.332,26 kn sudskih troškova i 3.027,99 kn kamata</w:t>
      </w:r>
      <w:r w:rsidRPr="000D568F">
        <w:rPr>
          <w:rFonts w:ascii="Calibri" w:eastAsia="Times New Roman" w:hAnsi="Calibri" w:cs="Times New Roman"/>
          <w:sz w:val="24"/>
          <w:szCs w:val="24"/>
        </w:rPr>
        <w:t>.</w:t>
      </w:r>
    </w:p>
    <w:bookmarkEnd w:id="28"/>
    <w:p w14:paraId="361FD4FB" w14:textId="77777777" w:rsidR="003442D8" w:rsidRPr="00DF679C" w:rsidRDefault="003442D8" w:rsidP="003442D8">
      <w:pPr>
        <w:spacing w:after="0" w:line="240" w:lineRule="auto"/>
        <w:jc w:val="both"/>
        <w:rPr>
          <w:rFonts w:ascii="Calibri" w:eastAsia="Times New Roman" w:hAnsi="Calibri" w:cs="Times New Roman"/>
          <w:sz w:val="24"/>
          <w:szCs w:val="24"/>
          <w:highlight w:val="yellow"/>
        </w:rPr>
      </w:pPr>
    </w:p>
    <w:p w14:paraId="52B1A978" w14:textId="77777777" w:rsidR="00C00B79" w:rsidRPr="00983452" w:rsidRDefault="00CC3F2F" w:rsidP="00C00B79">
      <w:pPr>
        <w:spacing w:after="0"/>
        <w:jc w:val="both"/>
        <w:rPr>
          <w:sz w:val="24"/>
          <w:szCs w:val="24"/>
        </w:rPr>
      </w:pPr>
      <w:r w:rsidRPr="00983452">
        <w:rPr>
          <w:rFonts w:ascii="Calibri" w:eastAsia="Times New Roman" w:hAnsi="Calibri" w:cs="Times New Roman"/>
          <w:b/>
          <w:sz w:val="24"/>
          <w:szCs w:val="24"/>
        </w:rPr>
        <w:lastRenderedPageBreak/>
        <w:t>/v/</w:t>
      </w:r>
      <w:r w:rsidRPr="00983452">
        <w:rPr>
          <w:rFonts w:ascii="Calibri" w:eastAsia="Times New Roman" w:hAnsi="Calibri" w:cs="Times New Roman"/>
          <w:b/>
          <w:sz w:val="24"/>
          <w:szCs w:val="24"/>
        </w:rPr>
        <w:tab/>
      </w:r>
      <w:r w:rsidR="002F346A" w:rsidRPr="00983452">
        <w:rPr>
          <w:sz w:val="24"/>
          <w:szCs w:val="24"/>
        </w:rPr>
        <w:t xml:space="preserve">Potraživanja od privrede na dan 31. prosinca iznose </w:t>
      </w:r>
      <w:r w:rsidR="0031483B" w:rsidRPr="00983452">
        <w:rPr>
          <w:sz w:val="24"/>
          <w:szCs w:val="24"/>
        </w:rPr>
        <w:t>7.032.811,77</w:t>
      </w:r>
      <w:r w:rsidR="002F346A" w:rsidRPr="00983452">
        <w:rPr>
          <w:color w:val="000000"/>
          <w:sz w:val="24"/>
          <w:szCs w:val="24"/>
        </w:rPr>
        <w:t xml:space="preserve"> kn</w:t>
      </w:r>
      <w:r w:rsidR="00C00B79">
        <w:rPr>
          <w:color w:val="000000"/>
          <w:sz w:val="24"/>
          <w:szCs w:val="24"/>
        </w:rPr>
        <w:t xml:space="preserve">. </w:t>
      </w:r>
      <w:r w:rsidR="00C00B79">
        <w:rPr>
          <w:sz w:val="24"/>
          <w:szCs w:val="24"/>
        </w:rPr>
        <w:t xml:space="preserve">Najznačajnije potraživanje odnosi se na </w:t>
      </w:r>
      <w:r w:rsidR="00C00B79" w:rsidRPr="00983452">
        <w:rPr>
          <w:sz w:val="24"/>
          <w:szCs w:val="24"/>
        </w:rPr>
        <w:t>Ponikve eko otok Krk d.o.o. u iznosu od 2.568.833,97 kn za uslugu izgradnje i stručni nadzor nad izgradnjom EKM mreže i to:</w:t>
      </w:r>
    </w:p>
    <w:p w14:paraId="04BF4899" w14:textId="77777777" w:rsidR="00C00B79" w:rsidRPr="00983452" w:rsidRDefault="00C00B79" w:rsidP="00C00B79">
      <w:pPr>
        <w:spacing w:after="0"/>
        <w:jc w:val="both"/>
        <w:rPr>
          <w:sz w:val="24"/>
          <w:szCs w:val="24"/>
        </w:rPr>
      </w:pPr>
      <w:r w:rsidRPr="00983452">
        <w:rPr>
          <w:sz w:val="24"/>
          <w:szCs w:val="24"/>
        </w:rPr>
        <w:t xml:space="preserve">- nedospjelo potraživanje po računu za usluge izvršene u studenom 2020. godine u iznosu od 1.256.560,00 kn, a koje je naplaćeno do dana pisanja bilješki te </w:t>
      </w:r>
    </w:p>
    <w:p w14:paraId="3950CD8E" w14:textId="77777777" w:rsidR="00C00B79" w:rsidRDefault="00C00B79" w:rsidP="00C00B79">
      <w:pPr>
        <w:spacing w:after="0"/>
        <w:jc w:val="both"/>
        <w:rPr>
          <w:sz w:val="24"/>
          <w:szCs w:val="24"/>
        </w:rPr>
      </w:pPr>
      <w:r w:rsidRPr="00983452">
        <w:rPr>
          <w:sz w:val="24"/>
          <w:szCs w:val="24"/>
        </w:rPr>
        <w:t>- zadržani dio (10% po svim računima) u iznosu od 1.312.273,97 kn.</w:t>
      </w:r>
    </w:p>
    <w:p w14:paraId="4E4DEA61" w14:textId="77777777" w:rsidR="0055169F" w:rsidRDefault="0055169F" w:rsidP="00C00B79">
      <w:pPr>
        <w:spacing w:after="0"/>
        <w:jc w:val="both"/>
        <w:rPr>
          <w:sz w:val="24"/>
          <w:szCs w:val="24"/>
          <w:highlight w:val="magenta"/>
        </w:rPr>
      </w:pPr>
    </w:p>
    <w:p w14:paraId="2779B234" w14:textId="171E80E7" w:rsidR="00C00B79" w:rsidRPr="0055169F" w:rsidRDefault="00C00B79" w:rsidP="00C00B79">
      <w:pPr>
        <w:spacing w:after="0"/>
        <w:jc w:val="both"/>
        <w:rPr>
          <w:sz w:val="24"/>
          <w:szCs w:val="24"/>
        </w:rPr>
      </w:pPr>
      <w:r w:rsidRPr="0055169F">
        <w:rPr>
          <w:sz w:val="24"/>
          <w:szCs w:val="24"/>
        </w:rPr>
        <w:t>Ostala značajnija potraživanja su</w:t>
      </w:r>
      <w:r w:rsidR="0055169F" w:rsidRPr="0055169F">
        <w:rPr>
          <w:sz w:val="24"/>
          <w:szCs w:val="24"/>
        </w:rPr>
        <w:t>:</w:t>
      </w:r>
    </w:p>
    <w:tbl>
      <w:tblPr>
        <w:tblW w:w="6804" w:type="dxa"/>
        <w:tblLook w:val="04A0" w:firstRow="1" w:lastRow="0" w:firstColumn="1" w:lastColumn="0" w:noHBand="0" w:noVBand="1"/>
      </w:tblPr>
      <w:tblGrid>
        <w:gridCol w:w="3220"/>
        <w:gridCol w:w="1960"/>
        <w:gridCol w:w="1624"/>
      </w:tblGrid>
      <w:tr w:rsidR="0055169F" w:rsidRPr="005533EE" w14:paraId="23E1AA4B" w14:textId="77777777" w:rsidTr="00BE39F7">
        <w:trPr>
          <w:trHeight w:val="312"/>
        </w:trPr>
        <w:tc>
          <w:tcPr>
            <w:tcW w:w="3220" w:type="dxa"/>
            <w:tcBorders>
              <w:left w:val="nil"/>
              <w:bottom w:val="single" w:sz="4" w:space="0" w:color="auto"/>
              <w:right w:val="nil"/>
            </w:tcBorders>
            <w:shd w:val="clear" w:color="auto" w:fill="auto"/>
            <w:noWrap/>
            <w:vAlign w:val="center"/>
          </w:tcPr>
          <w:p w14:paraId="78ABBC13" w14:textId="06626C63"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color w:val="000000"/>
                <w:sz w:val="24"/>
                <w:szCs w:val="24"/>
              </w:rPr>
              <w:t xml:space="preserve">  </w:t>
            </w:r>
          </w:p>
        </w:tc>
        <w:tc>
          <w:tcPr>
            <w:tcW w:w="1960" w:type="dxa"/>
            <w:tcBorders>
              <w:left w:val="nil"/>
              <w:bottom w:val="single" w:sz="4" w:space="0" w:color="auto"/>
              <w:right w:val="nil"/>
            </w:tcBorders>
            <w:shd w:val="clear" w:color="auto" w:fill="auto"/>
            <w:noWrap/>
            <w:vAlign w:val="center"/>
          </w:tcPr>
          <w:p w14:paraId="6F5B1478" w14:textId="77777777" w:rsidR="0055169F" w:rsidRPr="005533EE" w:rsidRDefault="0055169F" w:rsidP="00F4341B">
            <w:pPr>
              <w:spacing w:after="0" w:line="240" w:lineRule="auto"/>
              <w:jc w:val="right"/>
              <w:rPr>
                <w:rFonts w:ascii="Calibri" w:eastAsia="Times New Roman" w:hAnsi="Calibri" w:cs="Calibri"/>
                <w:b/>
                <w:bCs/>
                <w:color w:val="000000"/>
                <w:sz w:val="24"/>
                <w:szCs w:val="24"/>
                <w:lang w:eastAsia="hr-HR"/>
              </w:rPr>
            </w:pPr>
            <w:r w:rsidRPr="005533EE">
              <w:rPr>
                <w:rFonts w:ascii="Calibri" w:eastAsia="Times New Roman" w:hAnsi="Calibri" w:cs="Calibri"/>
                <w:b/>
                <w:bCs/>
                <w:color w:val="000000"/>
                <w:sz w:val="24"/>
                <w:szCs w:val="24"/>
                <w:lang w:eastAsia="hr-HR"/>
              </w:rPr>
              <w:t>HRK</w:t>
            </w:r>
          </w:p>
        </w:tc>
        <w:tc>
          <w:tcPr>
            <w:tcW w:w="1624" w:type="dxa"/>
            <w:tcBorders>
              <w:left w:val="nil"/>
              <w:bottom w:val="nil"/>
              <w:right w:val="nil"/>
            </w:tcBorders>
            <w:vAlign w:val="center"/>
          </w:tcPr>
          <w:p w14:paraId="142D2B45"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p>
        </w:tc>
      </w:tr>
      <w:tr w:rsidR="0055169F" w:rsidRPr="005533EE" w14:paraId="1FF7A6D3" w14:textId="77777777" w:rsidTr="00BE39F7">
        <w:trPr>
          <w:trHeight w:val="312"/>
        </w:trPr>
        <w:tc>
          <w:tcPr>
            <w:tcW w:w="3220" w:type="dxa"/>
            <w:tcBorders>
              <w:top w:val="single" w:sz="4" w:space="0" w:color="auto"/>
              <w:left w:val="nil"/>
              <w:bottom w:val="nil"/>
              <w:right w:val="nil"/>
            </w:tcBorders>
            <w:shd w:val="clear" w:color="auto" w:fill="auto"/>
            <w:noWrap/>
            <w:vAlign w:val="center"/>
            <w:hideMark/>
          </w:tcPr>
          <w:p w14:paraId="29409BC1"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G.P.P. Mikić d.o.o.</w:t>
            </w:r>
          </w:p>
        </w:tc>
        <w:tc>
          <w:tcPr>
            <w:tcW w:w="1960" w:type="dxa"/>
            <w:tcBorders>
              <w:top w:val="single" w:sz="4" w:space="0" w:color="auto"/>
              <w:left w:val="nil"/>
              <w:bottom w:val="nil"/>
              <w:right w:val="nil"/>
            </w:tcBorders>
            <w:shd w:val="clear" w:color="auto" w:fill="auto"/>
            <w:noWrap/>
            <w:vAlign w:val="center"/>
            <w:hideMark/>
          </w:tcPr>
          <w:p w14:paraId="2EA4085E"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1.183.029,78   </w:t>
            </w:r>
          </w:p>
        </w:tc>
        <w:tc>
          <w:tcPr>
            <w:tcW w:w="1624" w:type="dxa"/>
            <w:tcBorders>
              <w:top w:val="nil"/>
              <w:left w:val="nil"/>
              <w:bottom w:val="nil"/>
              <w:right w:val="nil"/>
            </w:tcBorders>
            <w:vAlign w:val="center"/>
          </w:tcPr>
          <w:p w14:paraId="65E1BC0A" w14:textId="77777777" w:rsidR="0055169F" w:rsidRPr="005533EE" w:rsidRDefault="0055169F" w:rsidP="00F4341B">
            <w:pPr>
              <w:spacing w:after="0" w:line="240" w:lineRule="auto"/>
              <w:rPr>
                <w:rFonts w:ascii="Calibri" w:eastAsia="Times New Roman" w:hAnsi="Calibri" w:cs="Calibri"/>
                <w:color w:val="000000"/>
                <w:sz w:val="24"/>
                <w:szCs w:val="24"/>
                <w:highlight w:val="yellow"/>
                <w:lang w:eastAsia="hr-HR"/>
              </w:rPr>
            </w:pPr>
          </w:p>
        </w:tc>
      </w:tr>
      <w:tr w:rsidR="0055169F" w:rsidRPr="005533EE" w14:paraId="18081A00" w14:textId="77777777" w:rsidTr="00BE39F7">
        <w:trPr>
          <w:trHeight w:val="312"/>
        </w:trPr>
        <w:tc>
          <w:tcPr>
            <w:tcW w:w="3220" w:type="dxa"/>
            <w:tcBorders>
              <w:top w:val="nil"/>
              <w:left w:val="nil"/>
              <w:bottom w:val="nil"/>
              <w:right w:val="nil"/>
            </w:tcBorders>
            <w:shd w:val="clear" w:color="auto" w:fill="auto"/>
            <w:noWrap/>
            <w:vAlign w:val="center"/>
            <w:hideMark/>
          </w:tcPr>
          <w:p w14:paraId="7AC7A24C"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GP Krk d.d.</w:t>
            </w:r>
          </w:p>
        </w:tc>
        <w:tc>
          <w:tcPr>
            <w:tcW w:w="1960" w:type="dxa"/>
            <w:tcBorders>
              <w:top w:val="nil"/>
              <w:left w:val="nil"/>
              <w:bottom w:val="nil"/>
              <w:right w:val="nil"/>
            </w:tcBorders>
            <w:shd w:val="clear" w:color="auto" w:fill="auto"/>
            <w:noWrap/>
            <w:vAlign w:val="center"/>
            <w:hideMark/>
          </w:tcPr>
          <w:p w14:paraId="57AA3FE9"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344.139,15   </w:t>
            </w:r>
          </w:p>
        </w:tc>
        <w:tc>
          <w:tcPr>
            <w:tcW w:w="1624" w:type="dxa"/>
            <w:tcBorders>
              <w:top w:val="nil"/>
              <w:left w:val="nil"/>
              <w:bottom w:val="nil"/>
              <w:right w:val="nil"/>
            </w:tcBorders>
            <w:vAlign w:val="center"/>
          </w:tcPr>
          <w:p w14:paraId="3962A2B0"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p>
        </w:tc>
      </w:tr>
      <w:tr w:rsidR="0055169F" w:rsidRPr="005533EE" w14:paraId="296758CA" w14:textId="77777777" w:rsidTr="00BE39F7">
        <w:trPr>
          <w:trHeight w:val="312"/>
        </w:trPr>
        <w:tc>
          <w:tcPr>
            <w:tcW w:w="3220" w:type="dxa"/>
            <w:tcBorders>
              <w:top w:val="nil"/>
              <w:left w:val="nil"/>
              <w:bottom w:val="nil"/>
              <w:right w:val="nil"/>
            </w:tcBorders>
            <w:shd w:val="clear" w:color="auto" w:fill="auto"/>
            <w:noWrap/>
            <w:vAlign w:val="center"/>
            <w:hideMark/>
          </w:tcPr>
          <w:p w14:paraId="09DA203C"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Byder projektiranje d.o.o.</w:t>
            </w:r>
          </w:p>
        </w:tc>
        <w:tc>
          <w:tcPr>
            <w:tcW w:w="1960" w:type="dxa"/>
            <w:tcBorders>
              <w:top w:val="nil"/>
              <w:left w:val="nil"/>
              <w:bottom w:val="nil"/>
              <w:right w:val="nil"/>
            </w:tcBorders>
            <w:shd w:val="clear" w:color="auto" w:fill="auto"/>
            <w:noWrap/>
            <w:vAlign w:val="center"/>
            <w:hideMark/>
          </w:tcPr>
          <w:p w14:paraId="1013540C"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124.811,33   </w:t>
            </w:r>
          </w:p>
        </w:tc>
        <w:tc>
          <w:tcPr>
            <w:tcW w:w="1624" w:type="dxa"/>
            <w:tcBorders>
              <w:top w:val="nil"/>
              <w:left w:val="nil"/>
              <w:bottom w:val="nil"/>
              <w:right w:val="nil"/>
            </w:tcBorders>
            <w:vAlign w:val="center"/>
          </w:tcPr>
          <w:p w14:paraId="508C1751"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Bilješka 4.5.</w:t>
            </w:r>
          </w:p>
        </w:tc>
      </w:tr>
      <w:tr w:rsidR="0055169F" w:rsidRPr="005533EE" w14:paraId="3B1C9DCC" w14:textId="77777777" w:rsidTr="00BE39F7">
        <w:trPr>
          <w:trHeight w:val="312"/>
        </w:trPr>
        <w:tc>
          <w:tcPr>
            <w:tcW w:w="3220" w:type="dxa"/>
            <w:tcBorders>
              <w:top w:val="nil"/>
              <w:left w:val="nil"/>
              <w:bottom w:val="nil"/>
              <w:right w:val="nil"/>
            </w:tcBorders>
            <w:shd w:val="clear" w:color="auto" w:fill="auto"/>
            <w:noWrap/>
            <w:vAlign w:val="center"/>
            <w:hideMark/>
          </w:tcPr>
          <w:p w14:paraId="7CC61977"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TIHA d.o.o.</w:t>
            </w:r>
          </w:p>
        </w:tc>
        <w:tc>
          <w:tcPr>
            <w:tcW w:w="1960" w:type="dxa"/>
            <w:tcBorders>
              <w:top w:val="nil"/>
              <w:left w:val="nil"/>
              <w:bottom w:val="nil"/>
              <w:right w:val="nil"/>
            </w:tcBorders>
            <w:shd w:val="clear" w:color="auto" w:fill="auto"/>
            <w:noWrap/>
            <w:vAlign w:val="center"/>
            <w:hideMark/>
          </w:tcPr>
          <w:p w14:paraId="56CBF37F"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160.266,56   </w:t>
            </w:r>
          </w:p>
        </w:tc>
        <w:tc>
          <w:tcPr>
            <w:tcW w:w="1624" w:type="dxa"/>
            <w:tcBorders>
              <w:top w:val="nil"/>
              <w:left w:val="nil"/>
              <w:bottom w:val="nil"/>
              <w:right w:val="nil"/>
            </w:tcBorders>
            <w:vAlign w:val="center"/>
          </w:tcPr>
          <w:p w14:paraId="69494658" w14:textId="77777777" w:rsidR="0055169F" w:rsidRPr="005533EE" w:rsidRDefault="0055169F" w:rsidP="00F4341B">
            <w:pPr>
              <w:spacing w:after="0" w:line="240" w:lineRule="auto"/>
              <w:rPr>
                <w:rFonts w:ascii="Calibri" w:eastAsia="Times New Roman" w:hAnsi="Calibri" w:cs="Calibri"/>
                <w:color w:val="000000"/>
                <w:sz w:val="24"/>
                <w:szCs w:val="24"/>
                <w:highlight w:val="yellow"/>
                <w:lang w:eastAsia="hr-HR"/>
              </w:rPr>
            </w:pPr>
          </w:p>
        </w:tc>
      </w:tr>
      <w:tr w:rsidR="0055169F" w:rsidRPr="005533EE" w14:paraId="40B0EFC6" w14:textId="77777777" w:rsidTr="00BE39F7">
        <w:trPr>
          <w:trHeight w:val="312"/>
        </w:trPr>
        <w:tc>
          <w:tcPr>
            <w:tcW w:w="3220" w:type="dxa"/>
            <w:tcBorders>
              <w:top w:val="nil"/>
              <w:left w:val="nil"/>
              <w:bottom w:val="nil"/>
              <w:right w:val="nil"/>
            </w:tcBorders>
            <w:shd w:val="clear" w:color="auto" w:fill="auto"/>
            <w:noWrap/>
            <w:vAlign w:val="center"/>
            <w:hideMark/>
          </w:tcPr>
          <w:p w14:paraId="53DE704D"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SHOP PARK Krk d.o.o.</w:t>
            </w:r>
          </w:p>
        </w:tc>
        <w:tc>
          <w:tcPr>
            <w:tcW w:w="1960" w:type="dxa"/>
            <w:tcBorders>
              <w:top w:val="nil"/>
              <w:left w:val="nil"/>
              <w:bottom w:val="nil"/>
              <w:right w:val="nil"/>
            </w:tcBorders>
            <w:shd w:val="clear" w:color="auto" w:fill="auto"/>
            <w:noWrap/>
            <w:vAlign w:val="center"/>
            <w:hideMark/>
          </w:tcPr>
          <w:p w14:paraId="178727F8"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55.277,23   </w:t>
            </w:r>
          </w:p>
        </w:tc>
        <w:tc>
          <w:tcPr>
            <w:tcW w:w="1624" w:type="dxa"/>
            <w:tcBorders>
              <w:top w:val="nil"/>
              <w:left w:val="nil"/>
              <w:right w:val="nil"/>
            </w:tcBorders>
            <w:vAlign w:val="center"/>
          </w:tcPr>
          <w:p w14:paraId="37152172" w14:textId="77777777" w:rsidR="0055169F" w:rsidRPr="005533EE" w:rsidRDefault="0055169F" w:rsidP="00F4341B">
            <w:pPr>
              <w:spacing w:after="0" w:line="240" w:lineRule="auto"/>
              <w:rPr>
                <w:rFonts w:ascii="Calibri" w:eastAsia="Times New Roman" w:hAnsi="Calibri" w:cs="Calibri"/>
                <w:color w:val="000000"/>
                <w:sz w:val="24"/>
                <w:szCs w:val="24"/>
                <w:highlight w:val="yellow"/>
                <w:lang w:eastAsia="hr-HR"/>
              </w:rPr>
            </w:pPr>
          </w:p>
        </w:tc>
      </w:tr>
      <w:tr w:rsidR="0055169F" w:rsidRPr="005533EE" w14:paraId="17FAE11C" w14:textId="77777777" w:rsidTr="00BE39F7">
        <w:trPr>
          <w:trHeight w:val="312"/>
        </w:trPr>
        <w:tc>
          <w:tcPr>
            <w:tcW w:w="3220" w:type="dxa"/>
            <w:tcBorders>
              <w:top w:val="nil"/>
              <w:left w:val="nil"/>
              <w:right w:val="nil"/>
            </w:tcBorders>
            <w:shd w:val="clear" w:color="auto" w:fill="auto"/>
            <w:noWrap/>
            <w:vAlign w:val="center"/>
            <w:hideMark/>
          </w:tcPr>
          <w:p w14:paraId="5EEB6535"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Herc i Herc d.o.o.</w:t>
            </w:r>
          </w:p>
        </w:tc>
        <w:tc>
          <w:tcPr>
            <w:tcW w:w="1960" w:type="dxa"/>
            <w:tcBorders>
              <w:top w:val="nil"/>
              <w:left w:val="nil"/>
              <w:bottom w:val="nil"/>
              <w:right w:val="nil"/>
            </w:tcBorders>
            <w:shd w:val="clear" w:color="auto" w:fill="auto"/>
            <w:noWrap/>
            <w:vAlign w:val="center"/>
            <w:hideMark/>
          </w:tcPr>
          <w:p w14:paraId="079679C6"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47.132,79   </w:t>
            </w:r>
          </w:p>
        </w:tc>
        <w:tc>
          <w:tcPr>
            <w:tcW w:w="1624" w:type="dxa"/>
            <w:tcBorders>
              <w:top w:val="nil"/>
              <w:left w:val="nil"/>
              <w:right w:val="nil"/>
            </w:tcBorders>
            <w:vAlign w:val="center"/>
          </w:tcPr>
          <w:p w14:paraId="32CA5A67" w14:textId="77777777" w:rsidR="0055169F" w:rsidRPr="005533EE" w:rsidRDefault="0055169F" w:rsidP="00F4341B">
            <w:pPr>
              <w:spacing w:after="0" w:line="240" w:lineRule="auto"/>
              <w:rPr>
                <w:rFonts w:ascii="Calibri" w:eastAsia="Times New Roman" w:hAnsi="Calibri" w:cs="Calibri"/>
                <w:color w:val="000000"/>
                <w:sz w:val="24"/>
                <w:szCs w:val="24"/>
                <w:highlight w:val="yellow"/>
                <w:lang w:eastAsia="hr-HR"/>
              </w:rPr>
            </w:pPr>
            <w:r w:rsidRPr="005533EE">
              <w:rPr>
                <w:rFonts w:ascii="Calibri" w:eastAsia="Times New Roman" w:hAnsi="Calibri" w:cs="Calibri"/>
                <w:color w:val="000000"/>
                <w:sz w:val="24"/>
                <w:szCs w:val="24"/>
                <w:lang w:eastAsia="hr-HR"/>
              </w:rPr>
              <w:t>Bilješka 4.5.</w:t>
            </w:r>
          </w:p>
        </w:tc>
      </w:tr>
      <w:tr w:rsidR="0055169F" w:rsidRPr="005533EE" w14:paraId="5F4D61CD" w14:textId="77777777" w:rsidTr="00BE39F7">
        <w:trPr>
          <w:trHeight w:val="312"/>
        </w:trPr>
        <w:tc>
          <w:tcPr>
            <w:tcW w:w="3220" w:type="dxa"/>
            <w:tcBorders>
              <w:top w:val="nil"/>
              <w:left w:val="nil"/>
              <w:bottom w:val="single" w:sz="4" w:space="0" w:color="auto"/>
              <w:right w:val="nil"/>
            </w:tcBorders>
            <w:shd w:val="clear" w:color="auto" w:fill="auto"/>
            <w:noWrap/>
            <w:vAlign w:val="center"/>
            <w:hideMark/>
          </w:tcPr>
          <w:p w14:paraId="0E9AB1C9"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Apartmansko naselje Lavande</w:t>
            </w:r>
          </w:p>
        </w:tc>
        <w:tc>
          <w:tcPr>
            <w:tcW w:w="1960" w:type="dxa"/>
            <w:tcBorders>
              <w:top w:val="nil"/>
              <w:left w:val="nil"/>
              <w:bottom w:val="nil"/>
              <w:right w:val="nil"/>
            </w:tcBorders>
            <w:shd w:val="clear" w:color="auto" w:fill="auto"/>
            <w:noWrap/>
            <w:vAlign w:val="center"/>
            <w:hideMark/>
          </w:tcPr>
          <w:p w14:paraId="5FA331DA"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 xml:space="preserve">43.841,13   </w:t>
            </w:r>
          </w:p>
        </w:tc>
        <w:tc>
          <w:tcPr>
            <w:tcW w:w="1624" w:type="dxa"/>
            <w:tcBorders>
              <w:top w:val="nil"/>
              <w:left w:val="nil"/>
              <w:bottom w:val="nil"/>
              <w:right w:val="nil"/>
            </w:tcBorders>
            <w:vAlign w:val="center"/>
          </w:tcPr>
          <w:p w14:paraId="12BC5D20" w14:textId="77777777" w:rsidR="0055169F" w:rsidRPr="005533EE" w:rsidRDefault="0055169F" w:rsidP="00F4341B">
            <w:pPr>
              <w:spacing w:after="0" w:line="240" w:lineRule="auto"/>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Bilješka 4.5.</w:t>
            </w:r>
          </w:p>
        </w:tc>
      </w:tr>
      <w:tr w:rsidR="0055169F" w:rsidRPr="005533EE" w14:paraId="682F317D" w14:textId="77777777" w:rsidTr="00BE39F7">
        <w:trPr>
          <w:trHeight w:val="288"/>
        </w:trPr>
        <w:tc>
          <w:tcPr>
            <w:tcW w:w="3220" w:type="dxa"/>
            <w:tcBorders>
              <w:top w:val="single" w:sz="4" w:space="0" w:color="auto"/>
              <w:left w:val="nil"/>
              <w:bottom w:val="nil"/>
              <w:right w:val="nil"/>
            </w:tcBorders>
            <w:shd w:val="clear" w:color="auto" w:fill="auto"/>
            <w:noWrap/>
            <w:vAlign w:val="center"/>
            <w:hideMark/>
          </w:tcPr>
          <w:p w14:paraId="36ADD2C2" w14:textId="77777777" w:rsidR="0055169F" w:rsidRPr="005533EE" w:rsidRDefault="0055169F" w:rsidP="00F4341B">
            <w:pPr>
              <w:spacing w:after="0" w:line="240" w:lineRule="auto"/>
              <w:jc w:val="right"/>
              <w:rPr>
                <w:rFonts w:ascii="Calibri" w:eastAsia="Times New Roman" w:hAnsi="Calibri" w:cs="Calibri"/>
                <w:color w:val="000000"/>
                <w:sz w:val="24"/>
                <w:szCs w:val="24"/>
                <w:lang w:eastAsia="hr-HR"/>
              </w:rPr>
            </w:pPr>
            <w:r w:rsidRPr="005533EE">
              <w:rPr>
                <w:rFonts w:ascii="Calibri" w:eastAsia="Times New Roman" w:hAnsi="Calibri" w:cs="Calibri"/>
                <w:color w:val="000000"/>
                <w:sz w:val="24"/>
                <w:szCs w:val="24"/>
                <w:lang w:eastAsia="hr-HR"/>
              </w:rPr>
              <w:t>ukupno</w:t>
            </w:r>
          </w:p>
        </w:tc>
        <w:tc>
          <w:tcPr>
            <w:tcW w:w="1960" w:type="dxa"/>
            <w:tcBorders>
              <w:top w:val="single" w:sz="4" w:space="0" w:color="auto"/>
              <w:left w:val="nil"/>
              <w:bottom w:val="nil"/>
              <w:right w:val="nil"/>
            </w:tcBorders>
            <w:shd w:val="clear" w:color="auto" w:fill="auto"/>
            <w:noWrap/>
            <w:vAlign w:val="center"/>
            <w:hideMark/>
          </w:tcPr>
          <w:p w14:paraId="457B3BC9" w14:textId="1BC6F070" w:rsidR="0055169F" w:rsidRPr="0055169F" w:rsidRDefault="0055169F" w:rsidP="00F4341B">
            <w:pPr>
              <w:spacing w:after="0" w:line="240" w:lineRule="auto"/>
              <w:jc w:val="right"/>
              <w:rPr>
                <w:rFonts w:ascii="Calibri" w:eastAsia="Times New Roman" w:hAnsi="Calibri" w:cs="Calibri"/>
                <w:b/>
                <w:bCs/>
                <w:color w:val="000000"/>
                <w:sz w:val="24"/>
                <w:szCs w:val="24"/>
                <w:lang w:eastAsia="hr-HR"/>
              </w:rPr>
            </w:pPr>
            <w:r w:rsidRPr="0055169F">
              <w:rPr>
                <w:rFonts w:ascii="Calibri" w:eastAsia="Times New Roman" w:hAnsi="Calibri" w:cs="Calibri"/>
                <w:b/>
                <w:bCs/>
                <w:color w:val="000000"/>
                <w:sz w:val="24"/>
                <w:szCs w:val="24"/>
                <w:lang w:eastAsia="hr-HR"/>
              </w:rPr>
              <w:t>1.958.497,97</w:t>
            </w:r>
          </w:p>
        </w:tc>
        <w:tc>
          <w:tcPr>
            <w:tcW w:w="1624" w:type="dxa"/>
            <w:tcBorders>
              <w:left w:val="nil"/>
              <w:bottom w:val="nil"/>
              <w:right w:val="nil"/>
            </w:tcBorders>
            <w:vAlign w:val="center"/>
          </w:tcPr>
          <w:p w14:paraId="23B169A9" w14:textId="77777777" w:rsidR="0055169F" w:rsidRPr="005533EE" w:rsidRDefault="0055169F" w:rsidP="00F4341B">
            <w:pPr>
              <w:spacing w:after="0" w:line="240" w:lineRule="auto"/>
              <w:jc w:val="center"/>
              <w:rPr>
                <w:rFonts w:ascii="Calibri" w:eastAsia="Times New Roman" w:hAnsi="Calibri" w:cs="Calibri"/>
                <w:b/>
                <w:bCs/>
                <w:color w:val="000000"/>
                <w:sz w:val="24"/>
                <w:szCs w:val="24"/>
                <w:lang w:eastAsia="hr-HR"/>
              </w:rPr>
            </w:pPr>
          </w:p>
        </w:tc>
      </w:tr>
    </w:tbl>
    <w:p w14:paraId="5B76D3E4" w14:textId="77777777" w:rsidR="0055169F" w:rsidRDefault="0055169F" w:rsidP="00C00B79">
      <w:pPr>
        <w:spacing w:after="0"/>
        <w:jc w:val="both"/>
        <w:rPr>
          <w:sz w:val="24"/>
          <w:szCs w:val="24"/>
          <w:highlight w:val="magenta"/>
        </w:rPr>
      </w:pPr>
    </w:p>
    <w:p w14:paraId="598C6E91" w14:textId="77777777" w:rsidR="0055169F" w:rsidRPr="00DA52B8" w:rsidRDefault="0055169F" w:rsidP="00C00B79">
      <w:pPr>
        <w:spacing w:after="0"/>
        <w:jc w:val="both"/>
        <w:rPr>
          <w:sz w:val="24"/>
          <w:szCs w:val="24"/>
          <w:highlight w:val="magenta"/>
        </w:rPr>
      </w:pPr>
    </w:p>
    <w:p w14:paraId="37F24AAD"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POTRAŽIVANJA OD DRŽAVE I DRUGIH INSTITUCIJA</w:t>
      </w:r>
    </w:p>
    <w:p w14:paraId="6527A829" w14:textId="77777777" w:rsidR="003442D8" w:rsidRPr="008F425B" w:rsidRDefault="003442D8" w:rsidP="003442D8">
      <w:pPr>
        <w:spacing w:after="0" w:line="240" w:lineRule="auto"/>
        <w:ind w:right="92"/>
        <w:jc w:val="both"/>
        <w:rPr>
          <w:rFonts w:ascii="Calibri" w:eastAsia="Times New Roman" w:hAnsi="Calibri" w:cs="Times New Roman"/>
          <w:iCs/>
          <w:sz w:val="20"/>
          <w:szCs w:val="20"/>
        </w:rPr>
      </w:pPr>
      <w:r w:rsidRPr="008F425B">
        <w:rPr>
          <w:rFonts w:ascii="Calibri" w:eastAsia="Times New Roman" w:hAnsi="Calibri" w:cs="Times New Roman"/>
          <w:iCs/>
          <w:sz w:val="24"/>
          <w:szCs w:val="24"/>
        </w:rPr>
        <w:tab/>
      </w:r>
    </w:p>
    <w:p w14:paraId="3D6B1A84" w14:textId="25F4C706" w:rsidR="003442D8" w:rsidRPr="008F425B"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Potraživanja od države i drugih inst</w:t>
      </w:r>
      <w:r w:rsidR="005A3655" w:rsidRPr="008F425B">
        <w:rPr>
          <w:rFonts w:ascii="Calibri" w:eastAsia="Times New Roman" w:hAnsi="Calibri" w:cs="Times New Roman"/>
          <w:iCs/>
          <w:sz w:val="24"/>
          <w:szCs w:val="24"/>
        </w:rPr>
        <w:t>itucija na dan 31. prosinca 20</w:t>
      </w:r>
      <w:r w:rsidR="00ED68BB">
        <w:rPr>
          <w:rFonts w:ascii="Calibri" w:eastAsia="Times New Roman" w:hAnsi="Calibri" w:cs="Times New Roman"/>
          <w:iCs/>
          <w:sz w:val="24"/>
          <w:szCs w:val="24"/>
        </w:rPr>
        <w:t>20</w:t>
      </w:r>
      <w:r w:rsidRPr="008F425B">
        <w:rPr>
          <w:rFonts w:ascii="Calibri" w:eastAsia="Times New Roman" w:hAnsi="Calibri" w:cs="Times New Roman"/>
          <w:iCs/>
          <w:sz w:val="24"/>
          <w:szCs w:val="24"/>
        </w:rPr>
        <w:t xml:space="preserve">. godine iznose </w:t>
      </w:r>
      <w:r w:rsidR="003374E3">
        <w:rPr>
          <w:rFonts w:ascii="Calibri" w:eastAsia="Times New Roman" w:hAnsi="Calibri" w:cs="Times New Roman"/>
          <w:iCs/>
          <w:sz w:val="24"/>
          <w:szCs w:val="24"/>
        </w:rPr>
        <w:t>57.602,06</w:t>
      </w:r>
      <w:r w:rsidRPr="008F425B">
        <w:rPr>
          <w:rFonts w:ascii="Calibri" w:eastAsia="Times New Roman" w:hAnsi="Calibri" w:cs="Times New Roman"/>
          <w:iCs/>
          <w:sz w:val="24"/>
          <w:szCs w:val="24"/>
        </w:rPr>
        <w:t xml:space="preserve"> kn, a odnose se na potraživanje za</w:t>
      </w:r>
      <w:r w:rsidR="005A3655" w:rsidRPr="008F425B">
        <w:rPr>
          <w:rFonts w:ascii="Calibri" w:eastAsia="Times New Roman" w:hAnsi="Calibri" w:cs="Times New Roman"/>
          <w:iCs/>
          <w:sz w:val="24"/>
          <w:szCs w:val="24"/>
        </w:rPr>
        <w:t xml:space="preserve"> </w:t>
      </w:r>
      <w:r w:rsidR="00ED68BB">
        <w:rPr>
          <w:rFonts w:ascii="Calibri" w:eastAsia="Times New Roman" w:hAnsi="Calibri" w:cs="Times New Roman"/>
          <w:iCs/>
          <w:sz w:val="24"/>
          <w:szCs w:val="24"/>
        </w:rPr>
        <w:t>bolovanja od HZZO</w:t>
      </w:r>
      <w:r w:rsidR="002C2945">
        <w:rPr>
          <w:rFonts w:ascii="Calibri" w:eastAsia="Times New Roman" w:hAnsi="Calibri" w:cs="Times New Roman"/>
          <w:iCs/>
          <w:sz w:val="24"/>
          <w:szCs w:val="24"/>
        </w:rPr>
        <w:t xml:space="preserve"> </w:t>
      </w:r>
      <w:r w:rsidR="003374E3">
        <w:rPr>
          <w:rFonts w:ascii="Calibri" w:eastAsia="Times New Roman" w:hAnsi="Calibri" w:cs="Times New Roman"/>
          <w:iCs/>
          <w:sz w:val="24"/>
          <w:szCs w:val="24"/>
        </w:rPr>
        <w:t>(11.543,06 kn)</w:t>
      </w:r>
      <w:r w:rsidR="002C2945">
        <w:rPr>
          <w:rFonts w:ascii="Calibri" w:eastAsia="Times New Roman" w:hAnsi="Calibri" w:cs="Times New Roman"/>
          <w:iCs/>
          <w:sz w:val="24"/>
          <w:szCs w:val="24"/>
        </w:rPr>
        <w:t xml:space="preserve"> </w:t>
      </w:r>
      <w:r w:rsidR="003374E3">
        <w:rPr>
          <w:rFonts w:ascii="Calibri" w:eastAsia="Times New Roman" w:hAnsi="Calibri" w:cs="Times New Roman"/>
          <w:iCs/>
          <w:sz w:val="24"/>
          <w:szCs w:val="24"/>
        </w:rPr>
        <w:t>i potraživanja za predujmove poreza na dobit (46.059</w:t>
      </w:r>
      <w:r w:rsidR="002C2945">
        <w:rPr>
          <w:rFonts w:ascii="Calibri" w:eastAsia="Times New Roman" w:hAnsi="Calibri" w:cs="Times New Roman"/>
          <w:iCs/>
          <w:sz w:val="24"/>
          <w:szCs w:val="24"/>
        </w:rPr>
        <w:t>,00</w:t>
      </w:r>
      <w:r w:rsidR="003374E3">
        <w:rPr>
          <w:rFonts w:ascii="Calibri" w:eastAsia="Times New Roman" w:hAnsi="Calibri" w:cs="Times New Roman"/>
          <w:iCs/>
          <w:sz w:val="24"/>
          <w:szCs w:val="24"/>
        </w:rPr>
        <w:t xml:space="preserve"> kn)</w:t>
      </w:r>
      <w:r w:rsidR="00ED68BB">
        <w:rPr>
          <w:rFonts w:ascii="Calibri" w:eastAsia="Times New Roman" w:hAnsi="Calibri" w:cs="Times New Roman"/>
          <w:iCs/>
          <w:sz w:val="24"/>
          <w:szCs w:val="24"/>
        </w:rPr>
        <w:t>.</w:t>
      </w:r>
    </w:p>
    <w:p w14:paraId="50E509D3" w14:textId="311E6E2A" w:rsidR="009E3411" w:rsidRDefault="009E3411" w:rsidP="003442D8">
      <w:pPr>
        <w:spacing w:after="0" w:line="240" w:lineRule="auto"/>
        <w:ind w:right="92"/>
        <w:jc w:val="both"/>
        <w:rPr>
          <w:rFonts w:ascii="Calibri" w:eastAsia="Times New Roman" w:hAnsi="Calibri" w:cs="Times New Roman"/>
          <w:iCs/>
          <w:sz w:val="24"/>
          <w:szCs w:val="24"/>
        </w:rPr>
      </w:pPr>
    </w:p>
    <w:p w14:paraId="7775104E" w14:textId="77777777" w:rsidR="00437306" w:rsidRPr="008F425B" w:rsidRDefault="00437306" w:rsidP="003442D8">
      <w:pPr>
        <w:spacing w:after="0" w:line="240" w:lineRule="auto"/>
        <w:ind w:right="92"/>
        <w:jc w:val="both"/>
        <w:rPr>
          <w:rFonts w:ascii="Calibri" w:eastAsia="Times New Roman" w:hAnsi="Calibri" w:cs="Times New Roman"/>
          <w:iCs/>
          <w:sz w:val="24"/>
          <w:szCs w:val="24"/>
        </w:rPr>
      </w:pPr>
    </w:p>
    <w:p w14:paraId="7DB6D59D"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OSTALA POTRAŽIVANJA</w:t>
      </w:r>
    </w:p>
    <w:p w14:paraId="6A2DF2CD" w14:textId="77777777" w:rsidR="003442D8" w:rsidRPr="00DF679C" w:rsidRDefault="003442D8" w:rsidP="003442D8">
      <w:pPr>
        <w:spacing w:after="0" w:line="240" w:lineRule="auto"/>
        <w:ind w:right="92"/>
        <w:jc w:val="both"/>
        <w:rPr>
          <w:rFonts w:ascii="Calibri" w:eastAsia="Times New Roman" w:hAnsi="Calibri" w:cs="Times New Roman"/>
          <w:b/>
          <w:bCs/>
          <w:iCs/>
          <w:sz w:val="24"/>
          <w:szCs w:val="24"/>
        </w:rPr>
      </w:pPr>
    </w:p>
    <w:p w14:paraId="5DD19988" w14:textId="1633837F" w:rsidR="003A6BA3" w:rsidRPr="00DF679C" w:rsidRDefault="003442D8" w:rsidP="005A3655">
      <w:pPr>
        <w:spacing w:after="0" w:line="240" w:lineRule="auto"/>
        <w:ind w:right="92"/>
        <w:jc w:val="both"/>
        <w:rPr>
          <w:rFonts w:ascii="Calibri" w:eastAsia="Times New Roman" w:hAnsi="Calibri" w:cs="Times New Roman"/>
          <w:bCs/>
          <w:iCs/>
          <w:sz w:val="24"/>
          <w:szCs w:val="24"/>
        </w:rPr>
      </w:pPr>
      <w:r w:rsidRPr="00DF679C">
        <w:rPr>
          <w:rFonts w:ascii="Calibri" w:eastAsia="Times New Roman" w:hAnsi="Calibri" w:cs="Times New Roman"/>
          <w:bCs/>
          <w:iCs/>
          <w:sz w:val="24"/>
          <w:szCs w:val="24"/>
        </w:rPr>
        <w:t>Ostala potra</w:t>
      </w:r>
      <w:r w:rsidR="005A3655" w:rsidRPr="00DF679C">
        <w:rPr>
          <w:rFonts w:ascii="Calibri" w:eastAsia="Times New Roman" w:hAnsi="Calibri" w:cs="Times New Roman"/>
          <w:bCs/>
          <w:iCs/>
          <w:sz w:val="24"/>
          <w:szCs w:val="24"/>
        </w:rPr>
        <w:t>živanja na dan 31. prosinca 20</w:t>
      </w:r>
      <w:r w:rsidR="00ED68BB" w:rsidRPr="00DF679C">
        <w:rPr>
          <w:rFonts w:ascii="Calibri" w:eastAsia="Times New Roman" w:hAnsi="Calibri" w:cs="Times New Roman"/>
          <w:bCs/>
          <w:iCs/>
          <w:sz w:val="24"/>
          <w:szCs w:val="24"/>
        </w:rPr>
        <w:t>20</w:t>
      </w:r>
      <w:r w:rsidRPr="00DF679C">
        <w:rPr>
          <w:rFonts w:ascii="Calibri" w:eastAsia="Times New Roman" w:hAnsi="Calibri" w:cs="Times New Roman"/>
          <w:bCs/>
          <w:iCs/>
          <w:sz w:val="24"/>
          <w:szCs w:val="24"/>
        </w:rPr>
        <w:t xml:space="preserve">. godine iznose </w:t>
      </w:r>
      <w:r w:rsidR="00ED68BB" w:rsidRPr="00DF679C">
        <w:rPr>
          <w:rFonts w:ascii="Calibri" w:eastAsia="Times New Roman" w:hAnsi="Calibri" w:cs="Times New Roman"/>
          <w:bCs/>
          <w:iCs/>
          <w:sz w:val="24"/>
          <w:szCs w:val="24"/>
        </w:rPr>
        <w:t>348.900,11</w:t>
      </w:r>
      <w:r w:rsidRPr="00DF679C">
        <w:rPr>
          <w:rFonts w:ascii="Calibri" w:eastAsia="Times New Roman" w:hAnsi="Calibri" w:cs="Times New Roman"/>
          <w:bCs/>
          <w:iCs/>
          <w:sz w:val="24"/>
          <w:szCs w:val="24"/>
        </w:rPr>
        <w:t xml:space="preserve"> kn, a odnose se na potraživanja:</w:t>
      </w:r>
      <w:r w:rsidR="00052B58" w:rsidRPr="00DF679C">
        <w:rPr>
          <w:rFonts w:ascii="Calibri" w:eastAsia="Times New Roman" w:hAnsi="Calibri" w:cs="Times New Roman"/>
          <w:bCs/>
          <w:iCs/>
          <w:sz w:val="24"/>
          <w:szCs w:val="24"/>
        </w:rPr>
        <w:t xml:space="preserve"> od</w:t>
      </w:r>
      <w:r w:rsidRPr="00DF679C">
        <w:rPr>
          <w:rFonts w:ascii="Calibri" w:eastAsia="Times New Roman" w:hAnsi="Calibri" w:cs="Times New Roman"/>
          <w:bCs/>
          <w:iCs/>
          <w:sz w:val="24"/>
          <w:szCs w:val="24"/>
        </w:rPr>
        <w:t xml:space="preserve"> Ponikve usluge d.o.o. </w:t>
      </w:r>
      <w:r w:rsidR="003735B7" w:rsidRPr="00DF679C">
        <w:rPr>
          <w:rFonts w:ascii="Calibri" w:eastAsia="Times New Roman" w:hAnsi="Calibri" w:cs="Times New Roman"/>
          <w:bCs/>
          <w:iCs/>
          <w:sz w:val="24"/>
          <w:szCs w:val="24"/>
        </w:rPr>
        <w:t xml:space="preserve">za naplaćena potraživanja objedinjene naplate </w:t>
      </w:r>
      <w:r w:rsidR="00052B58" w:rsidRPr="00DF679C">
        <w:rPr>
          <w:rFonts w:ascii="Calibri" w:eastAsia="Times New Roman" w:hAnsi="Calibri" w:cs="Times New Roman"/>
          <w:bCs/>
          <w:iCs/>
          <w:sz w:val="24"/>
          <w:szCs w:val="24"/>
        </w:rPr>
        <w:t>222.257,02</w:t>
      </w:r>
      <w:r w:rsidRPr="00DF679C">
        <w:rPr>
          <w:rFonts w:ascii="Calibri" w:eastAsia="Times New Roman" w:hAnsi="Calibri" w:cs="Times New Roman"/>
          <w:bCs/>
          <w:iCs/>
          <w:sz w:val="24"/>
          <w:szCs w:val="24"/>
        </w:rPr>
        <w:t xml:space="preserve"> kn, </w:t>
      </w:r>
      <w:r w:rsidR="00231F30" w:rsidRPr="00DF679C">
        <w:rPr>
          <w:rFonts w:ascii="Calibri" w:eastAsia="Times New Roman" w:hAnsi="Calibri" w:cs="Times New Roman"/>
          <w:bCs/>
          <w:iCs/>
          <w:sz w:val="24"/>
          <w:szCs w:val="24"/>
        </w:rPr>
        <w:t xml:space="preserve"> </w:t>
      </w:r>
      <w:r w:rsidRPr="00DF679C">
        <w:rPr>
          <w:rFonts w:ascii="Calibri" w:eastAsia="Times New Roman" w:hAnsi="Calibri" w:cs="Times New Roman"/>
          <w:bCs/>
          <w:iCs/>
          <w:sz w:val="24"/>
          <w:szCs w:val="24"/>
        </w:rPr>
        <w:t>od JLS za kamate po kreditu HBOR-a za EU projekt</w:t>
      </w:r>
      <w:r w:rsidR="00052B58" w:rsidRPr="00DF679C">
        <w:rPr>
          <w:rFonts w:ascii="Calibri" w:eastAsia="Times New Roman" w:hAnsi="Calibri" w:cs="Times New Roman"/>
          <w:bCs/>
          <w:iCs/>
          <w:sz w:val="24"/>
          <w:szCs w:val="24"/>
        </w:rPr>
        <w:t xml:space="preserve"> 91.179,22</w:t>
      </w:r>
      <w:r w:rsidRPr="00DF679C">
        <w:rPr>
          <w:rFonts w:ascii="Calibri" w:eastAsia="Times New Roman" w:hAnsi="Calibri" w:cs="Times New Roman"/>
          <w:bCs/>
          <w:iCs/>
          <w:sz w:val="24"/>
          <w:szCs w:val="24"/>
        </w:rPr>
        <w:t xml:space="preserve"> kn, </w:t>
      </w:r>
      <w:r w:rsidR="00362AE9" w:rsidRPr="00DF679C">
        <w:rPr>
          <w:rFonts w:ascii="Calibri" w:eastAsia="Times New Roman" w:hAnsi="Calibri" w:cs="Times New Roman"/>
          <w:bCs/>
          <w:iCs/>
          <w:sz w:val="24"/>
          <w:szCs w:val="24"/>
        </w:rPr>
        <w:t xml:space="preserve">od banaka za </w:t>
      </w:r>
      <w:r w:rsidRPr="00DF679C">
        <w:rPr>
          <w:rFonts w:ascii="Calibri" w:eastAsia="Times New Roman" w:hAnsi="Calibri" w:cs="Times New Roman"/>
          <w:bCs/>
          <w:iCs/>
          <w:sz w:val="24"/>
          <w:szCs w:val="24"/>
        </w:rPr>
        <w:t xml:space="preserve">kamate po viđenju </w:t>
      </w:r>
      <w:r w:rsidR="00FB59FE" w:rsidRPr="00DF679C">
        <w:rPr>
          <w:rFonts w:ascii="Calibri" w:eastAsia="Times New Roman" w:hAnsi="Calibri" w:cs="Times New Roman"/>
          <w:bCs/>
          <w:iCs/>
          <w:sz w:val="24"/>
          <w:szCs w:val="24"/>
        </w:rPr>
        <w:t>2.</w:t>
      </w:r>
      <w:r w:rsidR="00052B58" w:rsidRPr="00DF679C">
        <w:rPr>
          <w:rFonts w:ascii="Calibri" w:eastAsia="Times New Roman" w:hAnsi="Calibri" w:cs="Times New Roman"/>
          <w:bCs/>
          <w:iCs/>
          <w:sz w:val="24"/>
          <w:szCs w:val="24"/>
        </w:rPr>
        <w:t xml:space="preserve">319,87 </w:t>
      </w:r>
      <w:r w:rsidRPr="00DF679C">
        <w:rPr>
          <w:rFonts w:ascii="Calibri" w:eastAsia="Times New Roman" w:hAnsi="Calibri" w:cs="Times New Roman"/>
          <w:bCs/>
          <w:iCs/>
          <w:sz w:val="24"/>
          <w:szCs w:val="24"/>
        </w:rPr>
        <w:t>kn</w:t>
      </w:r>
      <w:r w:rsidR="00052B58" w:rsidRPr="00DF679C">
        <w:rPr>
          <w:rFonts w:ascii="Calibri" w:eastAsia="Times New Roman" w:hAnsi="Calibri" w:cs="Times New Roman"/>
          <w:bCs/>
          <w:iCs/>
          <w:sz w:val="24"/>
          <w:szCs w:val="24"/>
        </w:rPr>
        <w:t xml:space="preserve"> i potraživanje od Croatia osiguranja d.d. za naknadu štete</w:t>
      </w:r>
    </w:p>
    <w:p w14:paraId="51486CB0" w14:textId="361F2A6F" w:rsidR="00052B58" w:rsidRPr="00DF679C" w:rsidRDefault="00052B58" w:rsidP="005A3655">
      <w:pPr>
        <w:spacing w:after="0" w:line="240" w:lineRule="auto"/>
        <w:ind w:right="92"/>
        <w:jc w:val="both"/>
        <w:rPr>
          <w:rFonts w:ascii="Calibri" w:eastAsia="Times New Roman" w:hAnsi="Calibri" w:cs="Times New Roman"/>
          <w:b/>
          <w:bCs/>
          <w:iCs/>
          <w:sz w:val="24"/>
          <w:szCs w:val="24"/>
        </w:rPr>
      </w:pPr>
      <w:r w:rsidRPr="00DF679C">
        <w:rPr>
          <w:rFonts w:ascii="Calibri" w:eastAsia="Times New Roman" w:hAnsi="Calibri" w:cs="Times New Roman"/>
          <w:bCs/>
          <w:iCs/>
          <w:sz w:val="24"/>
          <w:szCs w:val="24"/>
        </w:rPr>
        <w:t>u iznosu od 33.144,00 kn.</w:t>
      </w:r>
    </w:p>
    <w:p w14:paraId="4CFBD245" w14:textId="079D6D77" w:rsidR="003A6BA3" w:rsidRDefault="003A6BA3" w:rsidP="005A3655">
      <w:pPr>
        <w:spacing w:after="0" w:line="240" w:lineRule="auto"/>
        <w:ind w:right="92"/>
        <w:contextualSpacing/>
        <w:jc w:val="both"/>
        <w:rPr>
          <w:rFonts w:ascii="Calibri" w:eastAsia="Times New Roman" w:hAnsi="Calibri" w:cs="Times New Roman"/>
          <w:b/>
          <w:bCs/>
          <w:iCs/>
          <w:sz w:val="24"/>
          <w:szCs w:val="24"/>
        </w:rPr>
      </w:pPr>
    </w:p>
    <w:p w14:paraId="3D7D2275" w14:textId="77777777" w:rsidR="00437306" w:rsidRPr="00DF679C" w:rsidRDefault="00437306" w:rsidP="005A3655">
      <w:pPr>
        <w:spacing w:after="0" w:line="240" w:lineRule="auto"/>
        <w:ind w:right="92"/>
        <w:contextualSpacing/>
        <w:jc w:val="both"/>
        <w:rPr>
          <w:rFonts w:ascii="Calibri" w:eastAsia="Times New Roman" w:hAnsi="Calibri" w:cs="Times New Roman"/>
          <w:b/>
          <w:bCs/>
          <w:iCs/>
          <w:sz w:val="24"/>
          <w:szCs w:val="24"/>
        </w:rPr>
      </w:pPr>
    </w:p>
    <w:p w14:paraId="73BE6F10"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KRATKOTRAJNA FINANCIJSKA IMOVINA</w:t>
      </w:r>
    </w:p>
    <w:p w14:paraId="6BB7BC62"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02C2FA4F" w14:textId="16CA6703" w:rsidR="003442D8" w:rsidRPr="00DF679C" w:rsidRDefault="003442D8" w:rsidP="003442D8">
      <w:pPr>
        <w:spacing w:after="0" w:line="240" w:lineRule="auto"/>
        <w:ind w:right="92"/>
        <w:jc w:val="both"/>
        <w:rPr>
          <w:rFonts w:ascii="Calibri" w:eastAsia="Times New Roman" w:hAnsi="Calibri" w:cs="Times New Roman"/>
          <w:iCs/>
          <w:sz w:val="24"/>
          <w:szCs w:val="24"/>
        </w:rPr>
      </w:pPr>
      <w:r w:rsidRPr="009434B5">
        <w:rPr>
          <w:rFonts w:ascii="Calibri" w:eastAsia="Times New Roman" w:hAnsi="Calibri" w:cs="Times New Roman"/>
          <w:iCs/>
          <w:sz w:val="24"/>
          <w:szCs w:val="24"/>
        </w:rPr>
        <w:t xml:space="preserve">Kratkotrajna financijska imovina iznosi </w:t>
      </w:r>
      <w:r w:rsidR="005A3655" w:rsidRPr="009434B5">
        <w:rPr>
          <w:rFonts w:ascii="Calibri" w:eastAsia="Times New Roman" w:hAnsi="Calibri" w:cs="Times New Roman"/>
          <w:iCs/>
          <w:sz w:val="24"/>
          <w:szCs w:val="24"/>
        </w:rPr>
        <w:t>1.</w:t>
      </w:r>
      <w:r w:rsidR="002A400B" w:rsidRPr="009434B5">
        <w:rPr>
          <w:rFonts w:ascii="Calibri" w:eastAsia="Times New Roman" w:hAnsi="Calibri" w:cs="Times New Roman"/>
          <w:iCs/>
          <w:sz w:val="24"/>
          <w:szCs w:val="24"/>
        </w:rPr>
        <w:t>415.714,22</w:t>
      </w:r>
      <w:r w:rsidRPr="009434B5">
        <w:rPr>
          <w:rFonts w:ascii="Calibri" w:eastAsia="Times New Roman" w:hAnsi="Calibri" w:cs="Times New Roman"/>
          <w:iCs/>
          <w:sz w:val="24"/>
          <w:szCs w:val="24"/>
        </w:rPr>
        <w:t xml:space="preserve"> kn, a odnosi se na izdvojena novčana sredstva na specijalnom računu, a vezano za Projekt zaštite voda od onečišćenja na priobalnom području (tzv. Projekt Jadran).</w:t>
      </w:r>
      <w:r w:rsidRPr="00DF679C">
        <w:rPr>
          <w:rFonts w:ascii="Calibri" w:eastAsia="Times New Roman" w:hAnsi="Calibri" w:cs="Times New Roman"/>
          <w:iCs/>
          <w:sz w:val="24"/>
          <w:szCs w:val="24"/>
        </w:rPr>
        <w:t xml:space="preserve"> </w:t>
      </w:r>
    </w:p>
    <w:p w14:paraId="0D09622C" w14:textId="77777777" w:rsidR="008E560F" w:rsidRPr="00DF679C" w:rsidRDefault="008E560F" w:rsidP="003442D8">
      <w:pPr>
        <w:spacing w:after="0" w:line="240" w:lineRule="auto"/>
        <w:rPr>
          <w:rFonts w:ascii="Calibri" w:eastAsia="Times New Roman" w:hAnsi="Calibri" w:cs="Times New Roman"/>
          <w:b/>
          <w:iCs/>
          <w:sz w:val="24"/>
          <w:szCs w:val="24"/>
        </w:rPr>
      </w:pPr>
    </w:p>
    <w:p w14:paraId="3C07F1AD" w14:textId="08E4CD29" w:rsidR="003D2E77" w:rsidRDefault="003D2E77" w:rsidP="003442D8">
      <w:pPr>
        <w:spacing w:after="0" w:line="240" w:lineRule="auto"/>
        <w:rPr>
          <w:rFonts w:ascii="Calibri" w:eastAsia="Times New Roman" w:hAnsi="Calibri" w:cs="Times New Roman"/>
          <w:b/>
          <w:iCs/>
          <w:sz w:val="24"/>
          <w:szCs w:val="24"/>
        </w:rPr>
      </w:pPr>
    </w:p>
    <w:p w14:paraId="4C9F6467" w14:textId="19DB9A56" w:rsidR="00BE39F7" w:rsidRDefault="00BE39F7" w:rsidP="003442D8">
      <w:pPr>
        <w:spacing w:after="0" w:line="240" w:lineRule="auto"/>
        <w:rPr>
          <w:rFonts w:ascii="Calibri" w:eastAsia="Times New Roman" w:hAnsi="Calibri" w:cs="Times New Roman"/>
          <w:b/>
          <w:iCs/>
          <w:sz w:val="24"/>
          <w:szCs w:val="24"/>
        </w:rPr>
      </w:pPr>
    </w:p>
    <w:p w14:paraId="18BCA3B2" w14:textId="17E09DF6" w:rsidR="00BE39F7" w:rsidRDefault="00BE39F7" w:rsidP="003442D8">
      <w:pPr>
        <w:spacing w:after="0" w:line="240" w:lineRule="auto"/>
        <w:rPr>
          <w:rFonts w:ascii="Calibri" w:eastAsia="Times New Roman" w:hAnsi="Calibri" w:cs="Times New Roman"/>
          <w:b/>
          <w:iCs/>
          <w:sz w:val="24"/>
          <w:szCs w:val="24"/>
        </w:rPr>
      </w:pPr>
    </w:p>
    <w:p w14:paraId="1F18A5FC" w14:textId="77777777" w:rsidR="00BE39F7" w:rsidRPr="00DF679C" w:rsidRDefault="00BE39F7" w:rsidP="003442D8">
      <w:pPr>
        <w:spacing w:after="0" w:line="240" w:lineRule="auto"/>
        <w:rPr>
          <w:rFonts w:ascii="Calibri" w:eastAsia="Times New Roman" w:hAnsi="Calibri" w:cs="Times New Roman"/>
          <w:b/>
          <w:iCs/>
          <w:sz w:val="24"/>
          <w:szCs w:val="24"/>
        </w:rPr>
      </w:pPr>
    </w:p>
    <w:p w14:paraId="17CF5375"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NOVAC U BANCI I BLAGAJNI</w:t>
      </w:r>
    </w:p>
    <w:p w14:paraId="07C15CFD" w14:textId="77777777" w:rsidR="003442D8" w:rsidRPr="00DF679C" w:rsidRDefault="003442D8" w:rsidP="003442D8">
      <w:pPr>
        <w:spacing w:after="0" w:line="240" w:lineRule="auto"/>
        <w:ind w:right="92"/>
        <w:jc w:val="both"/>
        <w:rPr>
          <w:rFonts w:ascii="Calibri" w:eastAsia="Times New Roman" w:hAnsi="Calibri" w:cs="Times New Roman"/>
          <w:b/>
          <w:iCs/>
          <w:sz w:val="24"/>
          <w:szCs w:val="24"/>
        </w:rPr>
      </w:pPr>
    </w:p>
    <w:p w14:paraId="7D027BB1" w14:textId="7ECBAC3C" w:rsidR="003442D8" w:rsidRPr="00DF679C" w:rsidRDefault="003442D8" w:rsidP="00621227">
      <w:pPr>
        <w:tabs>
          <w:tab w:val="left" w:pos="-180"/>
        </w:tabs>
        <w:spacing w:after="0" w:line="240" w:lineRule="auto"/>
        <w:ind w:right="70"/>
        <w:rPr>
          <w:rFonts w:ascii="Calibri" w:eastAsia="Times New Roman" w:hAnsi="Calibri" w:cs="Times New Roman"/>
          <w:iCs/>
          <w:sz w:val="24"/>
          <w:szCs w:val="24"/>
        </w:rPr>
      </w:pPr>
      <w:r w:rsidRPr="00DF679C">
        <w:rPr>
          <w:rFonts w:ascii="Calibri" w:eastAsia="Times New Roman" w:hAnsi="Calibri" w:cs="Arial"/>
          <w:sz w:val="24"/>
          <w:szCs w:val="24"/>
        </w:rPr>
        <w:t>Novčana s</w:t>
      </w:r>
      <w:r w:rsidR="005A3655" w:rsidRPr="00DF679C">
        <w:rPr>
          <w:rFonts w:ascii="Calibri" w:eastAsia="Times New Roman" w:hAnsi="Calibri" w:cs="Arial"/>
          <w:sz w:val="24"/>
          <w:szCs w:val="24"/>
        </w:rPr>
        <w:t>redstva na dan 31. prosinca 20</w:t>
      </w:r>
      <w:r w:rsidR="002A400B" w:rsidRPr="00DF679C">
        <w:rPr>
          <w:rFonts w:ascii="Calibri" w:eastAsia="Times New Roman" w:hAnsi="Calibri" w:cs="Arial"/>
          <w:sz w:val="24"/>
          <w:szCs w:val="24"/>
        </w:rPr>
        <w:t>20</w:t>
      </w:r>
      <w:r w:rsidRPr="00DF679C">
        <w:rPr>
          <w:rFonts w:ascii="Calibri" w:eastAsia="Times New Roman" w:hAnsi="Calibri" w:cs="Arial"/>
          <w:sz w:val="24"/>
          <w:szCs w:val="24"/>
        </w:rPr>
        <w:t xml:space="preserve">. godine odnose se na sredstva na žiro računu u iznosu od </w:t>
      </w:r>
      <w:r w:rsidR="002A400B" w:rsidRPr="00DF679C">
        <w:rPr>
          <w:rFonts w:ascii="Calibri" w:eastAsia="Times New Roman" w:hAnsi="Calibri" w:cs="Arial"/>
          <w:sz w:val="24"/>
          <w:szCs w:val="24"/>
        </w:rPr>
        <w:t>15.912.334,91</w:t>
      </w:r>
      <w:r w:rsidRPr="00DF679C">
        <w:rPr>
          <w:rFonts w:ascii="Calibri" w:eastAsia="Times New Roman" w:hAnsi="Calibri" w:cs="Arial"/>
          <w:sz w:val="24"/>
          <w:szCs w:val="24"/>
        </w:rPr>
        <w:t xml:space="preserve"> kn.</w:t>
      </w:r>
      <w:r w:rsidR="00621227">
        <w:rPr>
          <w:rFonts w:ascii="Calibri" w:eastAsia="Times New Roman" w:hAnsi="Calibri" w:cs="Arial"/>
          <w:sz w:val="24"/>
          <w:szCs w:val="24"/>
        </w:rPr>
        <w:t xml:space="preserve"> </w:t>
      </w:r>
      <w:r w:rsidRPr="00DF679C">
        <w:rPr>
          <w:rFonts w:ascii="Calibri" w:eastAsia="Times New Roman" w:hAnsi="Calibri" w:cs="Times New Roman"/>
          <w:iCs/>
          <w:sz w:val="24"/>
          <w:szCs w:val="24"/>
        </w:rPr>
        <w:t>Stanja novčanih sredstava na računima usuglašena su sa IOS-ima</w:t>
      </w:r>
      <w:r w:rsidR="005A3655" w:rsidRPr="00DF679C">
        <w:rPr>
          <w:rFonts w:ascii="Calibri" w:eastAsia="Times New Roman" w:hAnsi="Calibri" w:cs="Times New Roman"/>
          <w:iCs/>
          <w:sz w:val="24"/>
          <w:szCs w:val="24"/>
        </w:rPr>
        <w:t xml:space="preserve"> banaka na dan 31. prosinca 20</w:t>
      </w:r>
      <w:r w:rsidR="002A400B"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godine.</w:t>
      </w:r>
    </w:p>
    <w:p w14:paraId="63503248" w14:textId="77777777" w:rsidR="003442D8" w:rsidRPr="00DF679C" w:rsidRDefault="003442D8" w:rsidP="003442D8">
      <w:pPr>
        <w:spacing w:after="0" w:line="240" w:lineRule="auto"/>
        <w:ind w:right="92"/>
        <w:jc w:val="both"/>
        <w:rPr>
          <w:rFonts w:ascii="Calibri" w:eastAsia="Times New Roman" w:hAnsi="Calibri" w:cs="Times New Roman"/>
          <w:b/>
          <w:bCs/>
          <w:iCs/>
          <w:sz w:val="24"/>
          <w:szCs w:val="24"/>
        </w:rPr>
      </w:pPr>
    </w:p>
    <w:p w14:paraId="16A5CD19" w14:textId="77777777" w:rsidR="009407FF" w:rsidRPr="00DF679C" w:rsidRDefault="009407FF" w:rsidP="003442D8">
      <w:pPr>
        <w:spacing w:after="0" w:line="240" w:lineRule="auto"/>
        <w:ind w:right="92"/>
        <w:jc w:val="both"/>
        <w:rPr>
          <w:rFonts w:ascii="Calibri" w:eastAsia="Times New Roman" w:hAnsi="Calibri" w:cs="Times New Roman"/>
          <w:b/>
          <w:bCs/>
          <w:iCs/>
          <w:sz w:val="24"/>
          <w:szCs w:val="24"/>
        </w:rPr>
      </w:pPr>
    </w:p>
    <w:p w14:paraId="71BA02DC"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KAPITAL I REZERVE </w:t>
      </w:r>
    </w:p>
    <w:p w14:paraId="080C9668"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65F2B738" w14:textId="4A63C9FD" w:rsidR="003442D8"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Stanje i promjene na kapitalu pr</w:t>
      </w:r>
      <w:r w:rsidR="003D2E77" w:rsidRPr="00DF679C">
        <w:rPr>
          <w:rFonts w:ascii="Calibri" w:eastAsia="Times New Roman" w:hAnsi="Calibri" w:cs="Times New Roman"/>
          <w:iCs/>
          <w:sz w:val="24"/>
          <w:szCs w:val="24"/>
        </w:rPr>
        <w:t>ikazujemo kako slijedi:</w:t>
      </w:r>
    </w:p>
    <w:p w14:paraId="7148C500" w14:textId="77777777" w:rsidR="00621227" w:rsidRPr="00DF679C" w:rsidRDefault="00621227" w:rsidP="003442D8">
      <w:pPr>
        <w:spacing w:after="0" w:line="240" w:lineRule="auto"/>
        <w:ind w:right="92"/>
        <w:jc w:val="both"/>
        <w:rPr>
          <w:rFonts w:ascii="Calibri" w:eastAsia="Times New Roman" w:hAnsi="Calibri" w:cs="Times New Roman"/>
          <w:iCs/>
          <w:sz w:val="24"/>
          <w:szCs w:val="24"/>
        </w:rPr>
      </w:pPr>
    </w:p>
    <w:bookmarkStart w:id="29" w:name="_MON_1364278270"/>
    <w:bookmarkStart w:id="30" w:name="_MON_1364278317"/>
    <w:bookmarkStart w:id="31" w:name="_MON_1364278330"/>
    <w:bookmarkStart w:id="32" w:name="_MON_1394434740"/>
    <w:bookmarkStart w:id="33" w:name="_MON_1394434783"/>
    <w:bookmarkStart w:id="34" w:name="_MON_1394434879"/>
    <w:bookmarkStart w:id="35" w:name="_MON_1394435050"/>
    <w:bookmarkStart w:id="36" w:name="_MON_1394435133"/>
    <w:bookmarkStart w:id="37" w:name="_MON_1394435146"/>
    <w:bookmarkStart w:id="38" w:name="_MON_1394435158"/>
    <w:bookmarkStart w:id="39" w:name="_MON_1394435391"/>
    <w:bookmarkStart w:id="40" w:name="_MON_1394436969"/>
    <w:bookmarkStart w:id="41" w:name="_MON_1364122887"/>
    <w:bookmarkStart w:id="42" w:name="_MON_1364369759"/>
    <w:bookmarkStart w:id="43" w:name="_MON_1364277496"/>
    <w:bookmarkStart w:id="44" w:name="_MON_1364277873"/>
    <w:bookmarkStart w:id="45" w:name="_MON_1364278009"/>
    <w:bookmarkStart w:id="46" w:name="_MON_136427820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Start w:id="47" w:name="_MON_1364278229"/>
    <w:bookmarkEnd w:id="47"/>
    <w:p w14:paraId="2B6BDC53" w14:textId="45711E37" w:rsidR="00C15FEB" w:rsidRPr="00DF679C" w:rsidRDefault="00621227" w:rsidP="003442D8">
      <w:pPr>
        <w:spacing w:after="0" w:line="240" w:lineRule="auto"/>
        <w:ind w:right="9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object w:dxaOrig="12280" w:dyaOrig="3364" w14:anchorId="4834BA1E">
          <v:shape id="_x0000_i1035" type="#_x0000_t75" style="width:449.25pt;height:156.75pt" o:ole="">
            <v:imagedata r:id="rId31" o:title=""/>
          </v:shape>
          <o:OLEObject Type="Embed" ProgID="Excel.Sheet.8" ShapeID="_x0000_i1035" DrawAspect="Content" ObjectID="_1684915228" r:id="rId32"/>
        </w:object>
      </w:r>
    </w:p>
    <w:p w14:paraId="59952971" w14:textId="77777777" w:rsidR="00621227" w:rsidRDefault="00621227" w:rsidP="003442D8">
      <w:pPr>
        <w:spacing w:after="0" w:line="240" w:lineRule="auto"/>
        <w:ind w:right="92"/>
        <w:jc w:val="both"/>
        <w:rPr>
          <w:rFonts w:ascii="Calibri" w:eastAsia="Times New Roman" w:hAnsi="Calibri" w:cs="Times New Roman"/>
          <w:iCs/>
          <w:sz w:val="24"/>
          <w:szCs w:val="24"/>
        </w:rPr>
      </w:pPr>
    </w:p>
    <w:p w14:paraId="1131A480" w14:textId="64D1A433" w:rsidR="003442D8" w:rsidRDefault="00080FB7"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/i/ </w:t>
      </w:r>
      <w:r w:rsidR="003442D8" w:rsidRPr="00DF679C">
        <w:rPr>
          <w:rFonts w:ascii="Calibri" w:eastAsia="Times New Roman" w:hAnsi="Calibri" w:cs="Times New Roman"/>
          <w:iCs/>
          <w:sz w:val="24"/>
          <w:szCs w:val="24"/>
        </w:rPr>
        <w:t>Temeljni ulozi osnivača na dan 31. prosi</w:t>
      </w:r>
      <w:r w:rsidR="00C15FEB" w:rsidRPr="00DF679C">
        <w:rPr>
          <w:rFonts w:ascii="Calibri" w:eastAsia="Times New Roman" w:hAnsi="Calibri" w:cs="Times New Roman"/>
          <w:iCs/>
          <w:sz w:val="24"/>
          <w:szCs w:val="24"/>
        </w:rPr>
        <w:t>nca 20</w:t>
      </w:r>
      <w:r w:rsidR="00B2644D" w:rsidRPr="00DF679C">
        <w:rPr>
          <w:rFonts w:ascii="Calibri" w:eastAsia="Times New Roman" w:hAnsi="Calibri" w:cs="Times New Roman"/>
          <w:iCs/>
          <w:sz w:val="24"/>
          <w:szCs w:val="24"/>
        </w:rPr>
        <w:t>20</w:t>
      </w:r>
      <w:r w:rsidR="003442D8" w:rsidRPr="00DF679C">
        <w:rPr>
          <w:rFonts w:ascii="Calibri" w:eastAsia="Times New Roman" w:hAnsi="Calibri" w:cs="Times New Roman"/>
          <w:iCs/>
          <w:sz w:val="24"/>
          <w:szCs w:val="24"/>
        </w:rPr>
        <w:t>. godine iznose:</w:t>
      </w:r>
    </w:p>
    <w:p w14:paraId="72348B51" w14:textId="77777777" w:rsidR="00621227" w:rsidRPr="00BE39F7" w:rsidRDefault="00621227" w:rsidP="003442D8">
      <w:pPr>
        <w:spacing w:after="0" w:line="240" w:lineRule="auto"/>
        <w:ind w:right="92"/>
        <w:jc w:val="both"/>
        <w:rPr>
          <w:rFonts w:ascii="Calibri" w:eastAsia="Times New Roman" w:hAnsi="Calibri" w:cs="Times New Roman"/>
          <w:iCs/>
          <w:sz w:val="10"/>
          <w:szCs w:val="10"/>
        </w:rPr>
      </w:pPr>
    </w:p>
    <w:tbl>
      <w:tblPr>
        <w:tblW w:w="0" w:type="auto"/>
        <w:tblLook w:val="01E0" w:firstRow="1" w:lastRow="1" w:firstColumn="1" w:lastColumn="1" w:noHBand="0" w:noVBand="0"/>
      </w:tblPr>
      <w:tblGrid>
        <w:gridCol w:w="2802"/>
        <w:gridCol w:w="2003"/>
        <w:gridCol w:w="1926"/>
      </w:tblGrid>
      <w:tr w:rsidR="003442D8" w:rsidRPr="00BE39F7" w14:paraId="4A23AC32" w14:textId="77777777" w:rsidTr="00BE39F7">
        <w:trPr>
          <w:trHeight w:val="238"/>
        </w:trPr>
        <w:tc>
          <w:tcPr>
            <w:tcW w:w="2802" w:type="dxa"/>
            <w:tcBorders>
              <w:bottom w:val="single" w:sz="4" w:space="0" w:color="auto"/>
            </w:tcBorders>
            <w:vAlign w:val="center"/>
          </w:tcPr>
          <w:p w14:paraId="34D2F721" w14:textId="77777777" w:rsidR="003442D8" w:rsidRPr="00BE39F7" w:rsidRDefault="003442D8" w:rsidP="003442D8">
            <w:pPr>
              <w:spacing w:after="0" w:line="240" w:lineRule="auto"/>
              <w:ind w:right="92"/>
              <w:rPr>
                <w:rFonts w:ascii="Calibri" w:eastAsia="Times New Roman" w:hAnsi="Calibri" w:cs="Times New Roman"/>
                <w:b/>
                <w:bCs/>
                <w:iCs/>
              </w:rPr>
            </w:pPr>
          </w:p>
        </w:tc>
        <w:tc>
          <w:tcPr>
            <w:tcW w:w="2003" w:type="dxa"/>
            <w:tcBorders>
              <w:bottom w:val="single" w:sz="4" w:space="0" w:color="auto"/>
            </w:tcBorders>
            <w:vAlign w:val="center"/>
          </w:tcPr>
          <w:p w14:paraId="1C5F7CA4" w14:textId="77777777" w:rsidR="003442D8" w:rsidRPr="00BE39F7" w:rsidRDefault="003442D8" w:rsidP="003442D8">
            <w:pPr>
              <w:spacing w:after="0" w:line="240" w:lineRule="auto"/>
              <w:ind w:right="92"/>
              <w:jc w:val="center"/>
              <w:rPr>
                <w:rFonts w:ascii="Calibri" w:eastAsia="Times New Roman" w:hAnsi="Calibri" w:cs="Times New Roman"/>
                <w:b/>
                <w:bCs/>
                <w:iCs/>
              </w:rPr>
            </w:pPr>
            <w:r w:rsidRPr="00BE39F7">
              <w:rPr>
                <w:rFonts w:ascii="Calibri" w:eastAsia="Times New Roman" w:hAnsi="Calibri" w:cs="Times New Roman"/>
                <w:b/>
                <w:bCs/>
                <w:iCs/>
              </w:rPr>
              <w:t>HRK</w:t>
            </w:r>
          </w:p>
        </w:tc>
        <w:tc>
          <w:tcPr>
            <w:tcW w:w="1926" w:type="dxa"/>
            <w:tcBorders>
              <w:bottom w:val="single" w:sz="4" w:space="0" w:color="auto"/>
            </w:tcBorders>
            <w:vAlign w:val="center"/>
          </w:tcPr>
          <w:p w14:paraId="163D5647" w14:textId="77777777" w:rsidR="003442D8" w:rsidRPr="00BE39F7" w:rsidRDefault="003442D8" w:rsidP="003442D8">
            <w:pPr>
              <w:spacing w:after="0" w:line="240" w:lineRule="auto"/>
              <w:ind w:right="92"/>
              <w:jc w:val="center"/>
              <w:rPr>
                <w:rFonts w:ascii="Calibri" w:eastAsia="Times New Roman" w:hAnsi="Calibri" w:cs="Times New Roman"/>
                <w:b/>
                <w:bCs/>
                <w:iCs/>
              </w:rPr>
            </w:pPr>
            <w:r w:rsidRPr="00BE39F7">
              <w:rPr>
                <w:rFonts w:ascii="Calibri" w:eastAsia="Times New Roman" w:hAnsi="Calibri" w:cs="Times New Roman"/>
                <w:b/>
                <w:bCs/>
                <w:iCs/>
              </w:rPr>
              <w:t>udio</w:t>
            </w:r>
          </w:p>
        </w:tc>
      </w:tr>
      <w:tr w:rsidR="003442D8" w:rsidRPr="00BE39F7" w14:paraId="27D15DF2" w14:textId="77777777" w:rsidTr="00BE39F7">
        <w:trPr>
          <w:trHeight w:val="254"/>
        </w:trPr>
        <w:tc>
          <w:tcPr>
            <w:tcW w:w="2802" w:type="dxa"/>
            <w:tcBorders>
              <w:top w:val="single" w:sz="4" w:space="0" w:color="auto"/>
            </w:tcBorders>
            <w:vAlign w:val="center"/>
          </w:tcPr>
          <w:p w14:paraId="5591E22A" w14:textId="77777777" w:rsidR="003442D8" w:rsidRPr="00BE39F7" w:rsidRDefault="003442D8" w:rsidP="003442D8">
            <w:pPr>
              <w:spacing w:after="0" w:line="240" w:lineRule="auto"/>
              <w:ind w:right="92"/>
              <w:rPr>
                <w:rFonts w:ascii="Calibri" w:eastAsia="Times New Roman" w:hAnsi="Calibri" w:cs="Times New Roman"/>
                <w:iCs/>
              </w:rPr>
            </w:pPr>
            <w:r w:rsidRPr="00BE39F7">
              <w:rPr>
                <w:rFonts w:ascii="Calibri" w:eastAsia="Times New Roman" w:hAnsi="Calibri" w:cs="Times New Roman"/>
                <w:iCs/>
              </w:rPr>
              <w:t>Općina Omišalj</w:t>
            </w:r>
          </w:p>
        </w:tc>
        <w:tc>
          <w:tcPr>
            <w:tcW w:w="2003" w:type="dxa"/>
            <w:tcBorders>
              <w:top w:val="single" w:sz="4" w:space="0" w:color="auto"/>
            </w:tcBorders>
            <w:vAlign w:val="center"/>
          </w:tcPr>
          <w:p w14:paraId="589E4397"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51.865.900,00</w:t>
            </w:r>
          </w:p>
        </w:tc>
        <w:tc>
          <w:tcPr>
            <w:tcW w:w="1926" w:type="dxa"/>
            <w:tcBorders>
              <w:top w:val="single" w:sz="4" w:space="0" w:color="auto"/>
            </w:tcBorders>
            <w:vAlign w:val="center"/>
          </w:tcPr>
          <w:p w14:paraId="4A93EBFE"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16,09%</w:t>
            </w:r>
          </w:p>
        </w:tc>
      </w:tr>
      <w:tr w:rsidR="003442D8" w:rsidRPr="00BE39F7" w14:paraId="73658B1A" w14:textId="77777777" w:rsidTr="00BE39F7">
        <w:trPr>
          <w:trHeight w:val="254"/>
        </w:trPr>
        <w:tc>
          <w:tcPr>
            <w:tcW w:w="2802" w:type="dxa"/>
            <w:vAlign w:val="center"/>
          </w:tcPr>
          <w:p w14:paraId="260DCB42" w14:textId="77777777" w:rsidR="003442D8" w:rsidRPr="00BE39F7" w:rsidRDefault="003442D8" w:rsidP="003442D8">
            <w:pPr>
              <w:spacing w:after="0" w:line="240" w:lineRule="auto"/>
              <w:ind w:right="92"/>
              <w:rPr>
                <w:rFonts w:ascii="Calibri" w:eastAsia="Times New Roman" w:hAnsi="Calibri" w:cs="Times New Roman"/>
                <w:iCs/>
              </w:rPr>
            </w:pPr>
            <w:r w:rsidRPr="00BE39F7">
              <w:rPr>
                <w:rFonts w:ascii="Calibri" w:eastAsia="Times New Roman" w:hAnsi="Calibri" w:cs="Times New Roman"/>
                <w:iCs/>
              </w:rPr>
              <w:t>Općina Malinska-Dubašnica</w:t>
            </w:r>
          </w:p>
        </w:tc>
        <w:tc>
          <w:tcPr>
            <w:tcW w:w="2003" w:type="dxa"/>
            <w:vAlign w:val="center"/>
          </w:tcPr>
          <w:p w14:paraId="7A3B5B3F"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57.424.000,00</w:t>
            </w:r>
          </w:p>
        </w:tc>
        <w:tc>
          <w:tcPr>
            <w:tcW w:w="1926" w:type="dxa"/>
            <w:vAlign w:val="center"/>
          </w:tcPr>
          <w:p w14:paraId="52286989"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17,81%</w:t>
            </w:r>
          </w:p>
        </w:tc>
      </w:tr>
      <w:tr w:rsidR="003442D8" w:rsidRPr="00BE39F7" w14:paraId="5B1F45FA" w14:textId="77777777" w:rsidTr="00BE39F7">
        <w:trPr>
          <w:trHeight w:val="254"/>
        </w:trPr>
        <w:tc>
          <w:tcPr>
            <w:tcW w:w="2802" w:type="dxa"/>
            <w:vAlign w:val="center"/>
          </w:tcPr>
          <w:p w14:paraId="19965896" w14:textId="77777777" w:rsidR="003442D8" w:rsidRPr="00BE39F7" w:rsidRDefault="003442D8" w:rsidP="003442D8">
            <w:pPr>
              <w:spacing w:after="0" w:line="240" w:lineRule="auto"/>
              <w:ind w:right="92"/>
              <w:rPr>
                <w:rFonts w:ascii="Calibri" w:eastAsia="Times New Roman" w:hAnsi="Calibri" w:cs="Times New Roman"/>
                <w:iCs/>
              </w:rPr>
            </w:pPr>
            <w:r w:rsidRPr="00BE39F7">
              <w:rPr>
                <w:rFonts w:ascii="Calibri" w:eastAsia="Times New Roman" w:hAnsi="Calibri" w:cs="Times New Roman"/>
                <w:iCs/>
              </w:rPr>
              <w:t>Grad Krk</w:t>
            </w:r>
          </w:p>
        </w:tc>
        <w:tc>
          <w:tcPr>
            <w:tcW w:w="2003" w:type="dxa"/>
            <w:vAlign w:val="center"/>
          </w:tcPr>
          <w:p w14:paraId="37D13AF3"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75.311.100,00</w:t>
            </w:r>
          </w:p>
        </w:tc>
        <w:tc>
          <w:tcPr>
            <w:tcW w:w="1926" w:type="dxa"/>
            <w:vAlign w:val="center"/>
          </w:tcPr>
          <w:p w14:paraId="70CF488D"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23,36%</w:t>
            </w:r>
          </w:p>
        </w:tc>
      </w:tr>
      <w:tr w:rsidR="003442D8" w:rsidRPr="00BE39F7" w14:paraId="09EFB8EB" w14:textId="77777777" w:rsidTr="00BE39F7">
        <w:trPr>
          <w:trHeight w:val="254"/>
        </w:trPr>
        <w:tc>
          <w:tcPr>
            <w:tcW w:w="2802" w:type="dxa"/>
            <w:vAlign w:val="center"/>
          </w:tcPr>
          <w:p w14:paraId="59CC724B" w14:textId="77777777" w:rsidR="003442D8" w:rsidRPr="00BE39F7" w:rsidRDefault="003442D8" w:rsidP="003442D8">
            <w:pPr>
              <w:spacing w:after="0" w:line="240" w:lineRule="auto"/>
              <w:rPr>
                <w:rFonts w:ascii="Calibri" w:eastAsia="Times New Roman" w:hAnsi="Calibri" w:cs="Times New Roman"/>
                <w:iCs/>
              </w:rPr>
            </w:pPr>
            <w:r w:rsidRPr="00BE39F7">
              <w:rPr>
                <w:rFonts w:ascii="Calibri" w:eastAsia="Times New Roman" w:hAnsi="Calibri" w:cs="Times New Roman"/>
                <w:iCs/>
              </w:rPr>
              <w:t>Općina Punat</w:t>
            </w:r>
          </w:p>
        </w:tc>
        <w:tc>
          <w:tcPr>
            <w:tcW w:w="2003" w:type="dxa"/>
            <w:vAlign w:val="center"/>
          </w:tcPr>
          <w:p w14:paraId="1349855C"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34.031.200,00</w:t>
            </w:r>
          </w:p>
        </w:tc>
        <w:tc>
          <w:tcPr>
            <w:tcW w:w="1926" w:type="dxa"/>
            <w:vAlign w:val="center"/>
          </w:tcPr>
          <w:p w14:paraId="068DD34C"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10,55%</w:t>
            </w:r>
          </w:p>
        </w:tc>
      </w:tr>
      <w:tr w:rsidR="003442D8" w:rsidRPr="00BE39F7" w14:paraId="46EF4C33" w14:textId="77777777" w:rsidTr="00BE39F7">
        <w:trPr>
          <w:trHeight w:val="254"/>
        </w:trPr>
        <w:tc>
          <w:tcPr>
            <w:tcW w:w="2802" w:type="dxa"/>
            <w:vAlign w:val="center"/>
          </w:tcPr>
          <w:p w14:paraId="4C95CC96" w14:textId="77777777" w:rsidR="003442D8" w:rsidRPr="00BE39F7" w:rsidRDefault="003442D8" w:rsidP="003442D8">
            <w:pPr>
              <w:spacing w:after="0" w:line="240" w:lineRule="auto"/>
              <w:rPr>
                <w:rFonts w:ascii="Calibri" w:eastAsia="Times New Roman" w:hAnsi="Calibri" w:cs="Times New Roman"/>
                <w:iCs/>
              </w:rPr>
            </w:pPr>
            <w:r w:rsidRPr="00BE39F7">
              <w:rPr>
                <w:rFonts w:ascii="Calibri" w:eastAsia="Times New Roman" w:hAnsi="Calibri" w:cs="Times New Roman"/>
                <w:iCs/>
              </w:rPr>
              <w:t>Općina Baška</w:t>
            </w:r>
          </w:p>
        </w:tc>
        <w:tc>
          <w:tcPr>
            <w:tcW w:w="2003" w:type="dxa"/>
            <w:vAlign w:val="center"/>
          </w:tcPr>
          <w:p w14:paraId="29D67FB1"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44.912.600,00</w:t>
            </w:r>
          </w:p>
        </w:tc>
        <w:tc>
          <w:tcPr>
            <w:tcW w:w="1926" w:type="dxa"/>
            <w:vAlign w:val="center"/>
          </w:tcPr>
          <w:p w14:paraId="24ED840A"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13,93%</w:t>
            </w:r>
          </w:p>
        </w:tc>
      </w:tr>
      <w:tr w:rsidR="003442D8" w:rsidRPr="00BE39F7" w14:paraId="24CFF036" w14:textId="77777777" w:rsidTr="00BE39F7">
        <w:trPr>
          <w:trHeight w:val="254"/>
        </w:trPr>
        <w:tc>
          <w:tcPr>
            <w:tcW w:w="2802" w:type="dxa"/>
            <w:vAlign w:val="center"/>
          </w:tcPr>
          <w:p w14:paraId="654B0ED3" w14:textId="77777777" w:rsidR="003442D8" w:rsidRPr="00BE39F7" w:rsidRDefault="003442D8" w:rsidP="003442D8">
            <w:pPr>
              <w:spacing w:after="0" w:line="240" w:lineRule="auto"/>
              <w:rPr>
                <w:rFonts w:ascii="Calibri" w:eastAsia="Times New Roman" w:hAnsi="Calibri" w:cs="Times New Roman"/>
                <w:iCs/>
              </w:rPr>
            </w:pPr>
            <w:r w:rsidRPr="00BE39F7">
              <w:rPr>
                <w:rFonts w:ascii="Calibri" w:eastAsia="Times New Roman" w:hAnsi="Calibri" w:cs="Times New Roman"/>
                <w:iCs/>
              </w:rPr>
              <w:t>Općina Dobrinj</w:t>
            </w:r>
          </w:p>
        </w:tc>
        <w:tc>
          <w:tcPr>
            <w:tcW w:w="2003" w:type="dxa"/>
            <w:vAlign w:val="center"/>
          </w:tcPr>
          <w:p w14:paraId="0B84ADBD"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39.674.600,00</w:t>
            </w:r>
          </w:p>
        </w:tc>
        <w:tc>
          <w:tcPr>
            <w:tcW w:w="1926" w:type="dxa"/>
            <w:vAlign w:val="center"/>
          </w:tcPr>
          <w:p w14:paraId="7C09F383"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12,31%</w:t>
            </w:r>
          </w:p>
        </w:tc>
      </w:tr>
      <w:tr w:rsidR="003442D8" w:rsidRPr="00BE39F7" w14:paraId="7266F35D" w14:textId="77777777" w:rsidTr="00BE39F7">
        <w:trPr>
          <w:trHeight w:val="254"/>
        </w:trPr>
        <w:tc>
          <w:tcPr>
            <w:tcW w:w="2802" w:type="dxa"/>
            <w:tcBorders>
              <w:bottom w:val="single" w:sz="4" w:space="0" w:color="auto"/>
            </w:tcBorders>
            <w:vAlign w:val="center"/>
          </w:tcPr>
          <w:p w14:paraId="583F18C3" w14:textId="77777777" w:rsidR="003442D8" w:rsidRPr="00BE39F7" w:rsidRDefault="003442D8" w:rsidP="003442D8">
            <w:pPr>
              <w:spacing w:after="0" w:line="240" w:lineRule="auto"/>
              <w:rPr>
                <w:rFonts w:ascii="Calibri" w:eastAsia="Times New Roman" w:hAnsi="Calibri" w:cs="Times New Roman"/>
                <w:iCs/>
              </w:rPr>
            </w:pPr>
            <w:r w:rsidRPr="00BE39F7">
              <w:rPr>
                <w:rFonts w:ascii="Calibri" w:eastAsia="Times New Roman" w:hAnsi="Calibri" w:cs="Times New Roman"/>
                <w:iCs/>
              </w:rPr>
              <w:t>Općina Vrbnik</w:t>
            </w:r>
          </w:p>
        </w:tc>
        <w:tc>
          <w:tcPr>
            <w:tcW w:w="2003" w:type="dxa"/>
            <w:tcBorders>
              <w:bottom w:val="single" w:sz="4" w:space="0" w:color="auto"/>
            </w:tcBorders>
            <w:vAlign w:val="center"/>
          </w:tcPr>
          <w:p w14:paraId="07A5E62E"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19.175.800,00</w:t>
            </w:r>
          </w:p>
        </w:tc>
        <w:tc>
          <w:tcPr>
            <w:tcW w:w="1926" w:type="dxa"/>
            <w:tcBorders>
              <w:bottom w:val="single" w:sz="4" w:space="0" w:color="auto"/>
            </w:tcBorders>
            <w:vAlign w:val="center"/>
          </w:tcPr>
          <w:p w14:paraId="027C376D" w14:textId="77777777" w:rsidR="003442D8" w:rsidRPr="00BE39F7" w:rsidRDefault="003442D8" w:rsidP="003442D8">
            <w:pPr>
              <w:spacing w:after="0" w:line="240" w:lineRule="auto"/>
              <w:jc w:val="center"/>
              <w:rPr>
                <w:rFonts w:ascii="Calibri" w:eastAsia="Times New Roman" w:hAnsi="Calibri" w:cs="Times New Roman"/>
                <w:iCs/>
              </w:rPr>
            </w:pPr>
            <w:r w:rsidRPr="00BE39F7">
              <w:rPr>
                <w:rFonts w:ascii="Calibri" w:eastAsia="Times New Roman" w:hAnsi="Calibri" w:cs="Times New Roman"/>
                <w:iCs/>
              </w:rPr>
              <w:t>5,95%</w:t>
            </w:r>
          </w:p>
        </w:tc>
      </w:tr>
      <w:tr w:rsidR="003442D8" w:rsidRPr="00BE39F7" w14:paraId="454A883A" w14:textId="77777777" w:rsidTr="00BE39F7">
        <w:trPr>
          <w:trHeight w:val="254"/>
        </w:trPr>
        <w:tc>
          <w:tcPr>
            <w:tcW w:w="2802" w:type="dxa"/>
            <w:tcBorders>
              <w:top w:val="single" w:sz="4" w:space="0" w:color="auto"/>
              <w:bottom w:val="double" w:sz="4" w:space="0" w:color="auto"/>
            </w:tcBorders>
            <w:vAlign w:val="center"/>
          </w:tcPr>
          <w:p w14:paraId="72931B6A" w14:textId="77777777" w:rsidR="003442D8" w:rsidRPr="00BE39F7" w:rsidRDefault="003442D8" w:rsidP="003442D8">
            <w:pPr>
              <w:spacing w:after="0" w:line="240" w:lineRule="auto"/>
              <w:ind w:right="92"/>
              <w:rPr>
                <w:rFonts w:ascii="Calibri" w:eastAsia="Times New Roman" w:hAnsi="Calibri" w:cs="Times New Roman"/>
                <w:b/>
                <w:bCs/>
                <w:iCs/>
              </w:rPr>
            </w:pPr>
            <w:r w:rsidRPr="00BE39F7">
              <w:rPr>
                <w:rFonts w:ascii="Calibri" w:eastAsia="Times New Roman" w:hAnsi="Calibri" w:cs="Times New Roman"/>
                <w:b/>
                <w:bCs/>
                <w:iCs/>
              </w:rPr>
              <w:t>Ukupno stanje 31. prosinca</w:t>
            </w:r>
          </w:p>
        </w:tc>
        <w:tc>
          <w:tcPr>
            <w:tcW w:w="2003" w:type="dxa"/>
            <w:tcBorders>
              <w:top w:val="single" w:sz="4" w:space="0" w:color="auto"/>
              <w:bottom w:val="double" w:sz="4" w:space="0" w:color="auto"/>
            </w:tcBorders>
            <w:vAlign w:val="center"/>
          </w:tcPr>
          <w:p w14:paraId="108FA02E" w14:textId="77777777" w:rsidR="003442D8" w:rsidRPr="00BE39F7" w:rsidRDefault="003442D8" w:rsidP="003442D8">
            <w:pPr>
              <w:spacing w:after="0" w:line="240" w:lineRule="auto"/>
              <w:ind w:right="92"/>
              <w:jc w:val="center"/>
              <w:rPr>
                <w:rFonts w:ascii="Calibri" w:eastAsia="Times New Roman" w:hAnsi="Calibri" w:cs="Times New Roman"/>
                <w:b/>
                <w:bCs/>
                <w:iCs/>
              </w:rPr>
            </w:pPr>
            <w:r w:rsidRPr="00BE39F7">
              <w:rPr>
                <w:rFonts w:ascii="Calibri" w:eastAsia="Times New Roman" w:hAnsi="Calibri" w:cs="Times New Roman"/>
                <w:b/>
                <w:bCs/>
                <w:iCs/>
              </w:rPr>
              <w:t>322.395.200,00</w:t>
            </w:r>
          </w:p>
        </w:tc>
        <w:tc>
          <w:tcPr>
            <w:tcW w:w="1926" w:type="dxa"/>
            <w:tcBorders>
              <w:top w:val="single" w:sz="4" w:space="0" w:color="auto"/>
              <w:bottom w:val="double" w:sz="4" w:space="0" w:color="auto"/>
            </w:tcBorders>
            <w:vAlign w:val="center"/>
          </w:tcPr>
          <w:p w14:paraId="7100C320" w14:textId="77777777" w:rsidR="003442D8" w:rsidRPr="00BE39F7" w:rsidRDefault="003442D8" w:rsidP="003442D8">
            <w:pPr>
              <w:spacing w:after="0" w:line="240" w:lineRule="auto"/>
              <w:ind w:right="92"/>
              <w:jc w:val="center"/>
              <w:rPr>
                <w:rFonts w:ascii="Calibri" w:eastAsia="Times New Roman" w:hAnsi="Calibri" w:cs="Times New Roman"/>
                <w:b/>
                <w:bCs/>
                <w:iCs/>
              </w:rPr>
            </w:pPr>
            <w:r w:rsidRPr="00BE39F7">
              <w:rPr>
                <w:rFonts w:ascii="Calibri" w:eastAsia="Times New Roman" w:hAnsi="Calibri" w:cs="Times New Roman"/>
                <w:b/>
                <w:bCs/>
                <w:iCs/>
              </w:rPr>
              <w:t>100,00%</w:t>
            </w:r>
          </w:p>
        </w:tc>
      </w:tr>
    </w:tbl>
    <w:p w14:paraId="5758FE99" w14:textId="77777777" w:rsidR="003442D8" w:rsidRPr="00DF679C" w:rsidRDefault="003442D8" w:rsidP="003442D8">
      <w:pPr>
        <w:spacing w:after="0" w:line="240" w:lineRule="auto"/>
        <w:ind w:right="92"/>
        <w:jc w:val="both"/>
        <w:rPr>
          <w:rFonts w:ascii="Calibri" w:eastAsia="Times New Roman" w:hAnsi="Calibri" w:cs="Times New Roman"/>
          <w:b/>
          <w:bCs/>
          <w:iCs/>
          <w:sz w:val="24"/>
          <w:szCs w:val="24"/>
        </w:rPr>
      </w:pPr>
    </w:p>
    <w:p w14:paraId="57BDC0F2" w14:textId="22390E9A" w:rsidR="009434B5" w:rsidRPr="009434B5" w:rsidRDefault="009434B5" w:rsidP="00BE39F7">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U 2021. godini izvršen je upis povećanja temeljnog kapitala sa</w:t>
      </w:r>
      <w:r w:rsidR="004641A9" w:rsidRPr="00292998">
        <w:rPr>
          <w:rFonts w:ascii="Calibri" w:eastAsia="Times New Roman" w:hAnsi="Calibri" w:cs="Times New Roman"/>
          <w:iCs/>
          <w:sz w:val="24"/>
          <w:szCs w:val="24"/>
        </w:rPr>
        <w:t xml:space="preserve"> iznosa od</w:t>
      </w:r>
      <w:r w:rsidRPr="00292998">
        <w:rPr>
          <w:rFonts w:ascii="Calibri" w:eastAsia="Times New Roman" w:hAnsi="Calibri" w:cs="Times New Roman"/>
          <w:iCs/>
          <w:sz w:val="24"/>
          <w:szCs w:val="24"/>
        </w:rPr>
        <w:t xml:space="preserve"> 322.395.200,00 kn</w:t>
      </w:r>
      <w:r w:rsidR="004641A9" w:rsidRPr="00292998">
        <w:rPr>
          <w:rFonts w:ascii="Calibri" w:eastAsia="Times New Roman" w:hAnsi="Calibri" w:cs="Times New Roman"/>
          <w:iCs/>
          <w:sz w:val="24"/>
          <w:szCs w:val="24"/>
        </w:rPr>
        <w:t xml:space="preserve"> na iznos od 378.463.000,00 kn</w:t>
      </w:r>
      <w:r w:rsidR="00F2139B">
        <w:rPr>
          <w:rFonts w:ascii="Calibri" w:eastAsia="Times New Roman" w:hAnsi="Calibri" w:cs="Times New Roman"/>
          <w:iCs/>
          <w:sz w:val="24"/>
          <w:szCs w:val="24"/>
        </w:rPr>
        <w:t xml:space="preserve"> (</w:t>
      </w:r>
      <w:r w:rsidR="004641A9" w:rsidRPr="00292998">
        <w:rPr>
          <w:rFonts w:ascii="Calibri" w:eastAsia="Times New Roman" w:hAnsi="Calibri" w:cs="Times New Roman"/>
          <w:iCs/>
          <w:sz w:val="24"/>
          <w:szCs w:val="24"/>
        </w:rPr>
        <w:t>Bilješ</w:t>
      </w:r>
      <w:r w:rsidR="00F2139B">
        <w:rPr>
          <w:rFonts w:ascii="Calibri" w:eastAsia="Times New Roman" w:hAnsi="Calibri" w:cs="Times New Roman"/>
          <w:iCs/>
          <w:sz w:val="24"/>
          <w:szCs w:val="24"/>
        </w:rPr>
        <w:t>ka</w:t>
      </w:r>
      <w:r w:rsidR="004641A9" w:rsidRPr="00292998">
        <w:rPr>
          <w:rFonts w:ascii="Calibri" w:eastAsia="Times New Roman" w:hAnsi="Calibri" w:cs="Times New Roman"/>
          <w:iCs/>
          <w:sz w:val="24"/>
          <w:szCs w:val="24"/>
        </w:rPr>
        <w:t xml:space="preserve"> 27. /i/ Događaji nakon datuma bilance</w:t>
      </w:r>
      <w:r w:rsidR="00F2139B">
        <w:rPr>
          <w:rFonts w:ascii="Calibri" w:eastAsia="Times New Roman" w:hAnsi="Calibri" w:cs="Times New Roman"/>
          <w:iCs/>
          <w:sz w:val="24"/>
          <w:szCs w:val="24"/>
        </w:rPr>
        <w:t>)</w:t>
      </w:r>
      <w:r w:rsidR="004641A9" w:rsidRPr="00292998">
        <w:rPr>
          <w:rFonts w:ascii="Calibri" w:eastAsia="Times New Roman" w:hAnsi="Calibri" w:cs="Times New Roman"/>
          <w:iCs/>
          <w:sz w:val="24"/>
          <w:szCs w:val="24"/>
        </w:rPr>
        <w:t>.</w:t>
      </w:r>
    </w:p>
    <w:p w14:paraId="6D519B7B" w14:textId="77777777" w:rsidR="00570883" w:rsidRPr="00DF679C" w:rsidRDefault="00570883" w:rsidP="003442D8">
      <w:pPr>
        <w:spacing w:after="0" w:line="240" w:lineRule="auto"/>
        <w:ind w:right="-148"/>
        <w:jc w:val="both"/>
        <w:rPr>
          <w:rFonts w:ascii="Calibri" w:eastAsia="Times New Roman" w:hAnsi="Calibri" w:cs="Times New Roman"/>
          <w:iCs/>
          <w:sz w:val="24"/>
          <w:szCs w:val="24"/>
        </w:rPr>
      </w:pPr>
    </w:p>
    <w:p w14:paraId="6EC6B81D" w14:textId="731D8B5C" w:rsidR="003442D8" w:rsidRPr="00DF679C" w:rsidRDefault="00080FB7" w:rsidP="003442D8">
      <w:pPr>
        <w:spacing w:after="0" w:line="240" w:lineRule="auto"/>
        <w:ind w:right="-148"/>
        <w:jc w:val="both"/>
        <w:rPr>
          <w:rFonts w:ascii="Calibri" w:eastAsia="Times New Roman" w:hAnsi="Calibri" w:cs="Times New Roman"/>
          <w:iCs/>
          <w:sz w:val="24"/>
          <w:szCs w:val="24"/>
        </w:rPr>
      </w:pPr>
      <w:r w:rsidRPr="00DF679C">
        <w:rPr>
          <w:rFonts w:ascii="Calibri" w:eastAsia="Times New Roman" w:hAnsi="Calibri" w:cs="Times New Roman"/>
          <w:iCs/>
          <w:sz w:val="24"/>
          <w:szCs w:val="24"/>
        </w:rPr>
        <w:t>/ii/ K</w:t>
      </w:r>
      <w:r w:rsidR="003442D8" w:rsidRPr="00DF679C">
        <w:rPr>
          <w:rFonts w:ascii="Calibri" w:eastAsia="Times New Roman" w:hAnsi="Calibri" w:cs="Times New Roman"/>
          <w:iCs/>
          <w:sz w:val="24"/>
          <w:szCs w:val="24"/>
        </w:rPr>
        <w:t>apitaln</w:t>
      </w:r>
      <w:r w:rsidRPr="00DF679C">
        <w:rPr>
          <w:rFonts w:ascii="Calibri" w:eastAsia="Times New Roman" w:hAnsi="Calibri" w:cs="Times New Roman"/>
          <w:iCs/>
          <w:sz w:val="24"/>
          <w:szCs w:val="24"/>
        </w:rPr>
        <w:t>e</w:t>
      </w:r>
      <w:r w:rsidR="003442D8" w:rsidRPr="00DF679C">
        <w:rPr>
          <w:rFonts w:ascii="Calibri" w:eastAsia="Times New Roman" w:hAnsi="Calibri" w:cs="Times New Roman"/>
          <w:iCs/>
          <w:sz w:val="24"/>
          <w:szCs w:val="24"/>
        </w:rPr>
        <w:t xml:space="preserve"> rezerv</w:t>
      </w:r>
      <w:r w:rsidRPr="00DF679C">
        <w:rPr>
          <w:rFonts w:ascii="Calibri" w:eastAsia="Times New Roman" w:hAnsi="Calibri" w:cs="Times New Roman"/>
          <w:iCs/>
          <w:sz w:val="24"/>
          <w:szCs w:val="24"/>
        </w:rPr>
        <w:t>e odnose se na ulaganja osnivača (jedinica lokalne samouprave)</w:t>
      </w:r>
      <w:r w:rsidR="003442D8" w:rsidRPr="00DF679C">
        <w:rPr>
          <w:rFonts w:ascii="Calibri" w:eastAsia="Times New Roman" w:hAnsi="Calibri" w:cs="Times New Roman"/>
          <w:iCs/>
          <w:sz w:val="24"/>
          <w:szCs w:val="24"/>
        </w:rPr>
        <w:t>:</w:t>
      </w:r>
    </w:p>
    <w:tbl>
      <w:tblPr>
        <w:tblW w:w="9039" w:type="dxa"/>
        <w:tblLook w:val="01E0" w:firstRow="1" w:lastRow="1" w:firstColumn="1" w:lastColumn="1" w:noHBand="0" w:noVBand="0"/>
      </w:tblPr>
      <w:tblGrid>
        <w:gridCol w:w="3085"/>
        <w:gridCol w:w="1985"/>
        <w:gridCol w:w="1842"/>
        <w:gridCol w:w="2127"/>
      </w:tblGrid>
      <w:tr w:rsidR="003442D8" w:rsidRPr="00BE39F7" w14:paraId="713C366C" w14:textId="77777777" w:rsidTr="00BE39F7">
        <w:trPr>
          <w:trHeight w:val="271"/>
        </w:trPr>
        <w:tc>
          <w:tcPr>
            <w:tcW w:w="3085" w:type="dxa"/>
            <w:vAlign w:val="center"/>
          </w:tcPr>
          <w:p w14:paraId="7359ED0D" w14:textId="77777777" w:rsidR="003442D8" w:rsidRPr="00BE39F7" w:rsidRDefault="003442D8" w:rsidP="003442D8">
            <w:pPr>
              <w:spacing w:after="0" w:line="240" w:lineRule="auto"/>
              <w:ind w:right="92"/>
              <w:rPr>
                <w:rFonts w:ascii="Calibri" w:eastAsia="Times New Roman" w:hAnsi="Calibri" w:cs="Times New Roman"/>
                <w:b/>
                <w:bCs/>
                <w:iCs/>
                <w:sz w:val="20"/>
                <w:szCs w:val="20"/>
              </w:rPr>
            </w:pPr>
          </w:p>
        </w:tc>
        <w:tc>
          <w:tcPr>
            <w:tcW w:w="1985" w:type="dxa"/>
            <w:vAlign w:val="center"/>
          </w:tcPr>
          <w:p w14:paraId="5BE8130B" w14:textId="588AD3E7" w:rsidR="003442D8" w:rsidRPr="00BE39F7" w:rsidRDefault="00C15FEB" w:rsidP="003735B7">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 xml:space="preserve"> </w:t>
            </w:r>
            <w:r w:rsidR="00080FB7" w:rsidRPr="00BE39F7">
              <w:rPr>
                <w:rFonts w:ascii="Calibri" w:eastAsia="Times New Roman" w:hAnsi="Calibri" w:cs="Times New Roman"/>
                <w:b/>
                <w:bCs/>
                <w:iCs/>
                <w:sz w:val="20"/>
                <w:szCs w:val="20"/>
              </w:rPr>
              <w:t xml:space="preserve">Stanje </w:t>
            </w:r>
          </w:p>
        </w:tc>
        <w:tc>
          <w:tcPr>
            <w:tcW w:w="1842" w:type="dxa"/>
          </w:tcPr>
          <w:p w14:paraId="712F68A1" w14:textId="506C68F1" w:rsidR="003442D8" w:rsidRPr="00BE39F7" w:rsidRDefault="003442D8" w:rsidP="003735B7">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Povećanje</w:t>
            </w:r>
          </w:p>
        </w:tc>
        <w:tc>
          <w:tcPr>
            <w:tcW w:w="2127" w:type="dxa"/>
            <w:vAlign w:val="center"/>
          </w:tcPr>
          <w:p w14:paraId="42CDEE4F" w14:textId="296F23DD" w:rsidR="003442D8" w:rsidRPr="00BE39F7" w:rsidRDefault="00080FB7" w:rsidP="003735B7">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 xml:space="preserve">Stanje </w:t>
            </w:r>
          </w:p>
        </w:tc>
      </w:tr>
      <w:tr w:rsidR="003442D8" w:rsidRPr="00BE39F7" w14:paraId="1572C314" w14:textId="77777777" w:rsidTr="00BE39F7">
        <w:trPr>
          <w:trHeight w:val="286"/>
        </w:trPr>
        <w:tc>
          <w:tcPr>
            <w:tcW w:w="3085" w:type="dxa"/>
            <w:vAlign w:val="center"/>
          </w:tcPr>
          <w:p w14:paraId="2E00B264" w14:textId="77777777" w:rsidR="003442D8" w:rsidRPr="00BE39F7" w:rsidRDefault="003442D8" w:rsidP="003442D8">
            <w:pPr>
              <w:spacing w:after="0" w:line="240" w:lineRule="auto"/>
              <w:ind w:right="92"/>
              <w:rPr>
                <w:rFonts w:ascii="Calibri" w:eastAsia="Times New Roman" w:hAnsi="Calibri" w:cs="Times New Roman"/>
                <w:b/>
                <w:iCs/>
                <w:sz w:val="20"/>
                <w:szCs w:val="20"/>
              </w:rPr>
            </w:pPr>
            <w:r w:rsidRPr="00BE39F7">
              <w:rPr>
                <w:rFonts w:ascii="Calibri" w:eastAsia="Times New Roman" w:hAnsi="Calibri" w:cs="Times New Roman"/>
                <w:b/>
                <w:iCs/>
                <w:sz w:val="20"/>
                <w:szCs w:val="20"/>
              </w:rPr>
              <w:t>JLS</w:t>
            </w:r>
          </w:p>
        </w:tc>
        <w:tc>
          <w:tcPr>
            <w:tcW w:w="1985" w:type="dxa"/>
            <w:tcBorders>
              <w:bottom w:val="single" w:sz="4" w:space="0" w:color="auto"/>
            </w:tcBorders>
            <w:vAlign w:val="center"/>
          </w:tcPr>
          <w:p w14:paraId="6BC86232" w14:textId="36CEB402" w:rsidR="003442D8" w:rsidRPr="00BE39F7" w:rsidRDefault="00BE39F7" w:rsidP="003735B7">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31.12.2019.</w:t>
            </w:r>
            <w:r>
              <w:rPr>
                <w:rFonts w:ascii="Calibri" w:eastAsia="Times New Roman" w:hAnsi="Calibri" w:cs="Times New Roman"/>
                <w:b/>
                <w:bCs/>
                <w:iCs/>
                <w:sz w:val="20"/>
                <w:szCs w:val="20"/>
              </w:rPr>
              <w:t xml:space="preserve"> - </w:t>
            </w:r>
            <w:r w:rsidR="003442D8" w:rsidRPr="00BE39F7">
              <w:rPr>
                <w:rFonts w:ascii="Calibri" w:eastAsia="Times New Roman" w:hAnsi="Calibri" w:cs="Times New Roman"/>
                <w:b/>
                <w:bCs/>
                <w:iCs/>
                <w:sz w:val="20"/>
                <w:szCs w:val="20"/>
              </w:rPr>
              <w:t>HRK</w:t>
            </w:r>
          </w:p>
        </w:tc>
        <w:tc>
          <w:tcPr>
            <w:tcW w:w="1842" w:type="dxa"/>
            <w:tcBorders>
              <w:bottom w:val="single" w:sz="4" w:space="0" w:color="auto"/>
            </w:tcBorders>
          </w:tcPr>
          <w:p w14:paraId="016BF707" w14:textId="4C1FF8EC" w:rsidR="003442D8" w:rsidRPr="00BE39F7" w:rsidRDefault="00BE39F7" w:rsidP="003735B7">
            <w:pPr>
              <w:spacing w:after="0" w:line="240" w:lineRule="auto"/>
              <w:jc w:val="right"/>
              <w:rPr>
                <w:rFonts w:ascii="Calibri" w:eastAsia="Times New Roman" w:hAnsi="Calibri" w:cs="Times New Roman"/>
                <w:b/>
                <w:bCs/>
                <w:iCs/>
                <w:sz w:val="20"/>
                <w:szCs w:val="20"/>
              </w:rPr>
            </w:pPr>
            <w:r>
              <w:rPr>
                <w:rFonts w:ascii="Calibri" w:eastAsia="Times New Roman" w:hAnsi="Calibri" w:cs="Times New Roman"/>
                <w:b/>
                <w:bCs/>
                <w:iCs/>
                <w:sz w:val="20"/>
                <w:szCs w:val="20"/>
              </w:rPr>
              <w:t xml:space="preserve">2020. - </w:t>
            </w:r>
            <w:r w:rsidR="003442D8" w:rsidRPr="00BE39F7">
              <w:rPr>
                <w:rFonts w:ascii="Calibri" w:eastAsia="Times New Roman" w:hAnsi="Calibri" w:cs="Times New Roman"/>
                <w:b/>
                <w:bCs/>
                <w:iCs/>
                <w:sz w:val="20"/>
                <w:szCs w:val="20"/>
              </w:rPr>
              <w:t>HRK</w:t>
            </w:r>
          </w:p>
        </w:tc>
        <w:tc>
          <w:tcPr>
            <w:tcW w:w="2127" w:type="dxa"/>
            <w:tcBorders>
              <w:bottom w:val="single" w:sz="4" w:space="0" w:color="auto"/>
            </w:tcBorders>
            <w:vAlign w:val="center"/>
          </w:tcPr>
          <w:p w14:paraId="25F07986" w14:textId="1D9176A3" w:rsidR="003442D8" w:rsidRPr="00BE39F7" w:rsidRDefault="00BE39F7" w:rsidP="003735B7">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31.12.2020.</w:t>
            </w:r>
            <w:r>
              <w:rPr>
                <w:rFonts w:ascii="Calibri" w:eastAsia="Times New Roman" w:hAnsi="Calibri" w:cs="Times New Roman"/>
                <w:b/>
                <w:bCs/>
                <w:iCs/>
                <w:sz w:val="20"/>
                <w:szCs w:val="20"/>
              </w:rPr>
              <w:t xml:space="preserve"> - </w:t>
            </w:r>
            <w:r w:rsidR="003442D8" w:rsidRPr="00BE39F7">
              <w:rPr>
                <w:rFonts w:ascii="Calibri" w:eastAsia="Times New Roman" w:hAnsi="Calibri" w:cs="Times New Roman"/>
                <w:b/>
                <w:bCs/>
                <w:iCs/>
                <w:sz w:val="20"/>
                <w:szCs w:val="20"/>
              </w:rPr>
              <w:t>HRK</w:t>
            </w:r>
          </w:p>
        </w:tc>
      </w:tr>
      <w:tr w:rsidR="00B2644D" w:rsidRPr="00BE39F7" w14:paraId="3CD170BB" w14:textId="77777777" w:rsidTr="00BE39F7">
        <w:trPr>
          <w:trHeight w:val="170"/>
        </w:trPr>
        <w:tc>
          <w:tcPr>
            <w:tcW w:w="3085" w:type="dxa"/>
            <w:vAlign w:val="center"/>
          </w:tcPr>
          <w:p w14:paraId="6EB29A7C" w14:textId="77777777" w:rsidR="00B2644D" w:rsidRPr="00BE39F7" w:rsidRDefault="00B2644D" w:rsidP="00B2644D">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Općina Omišalj</w:t>
            </w:r>
          </w:p>
        </w:tc>
        <w:tc>
          <w:tcPr>
            <w:tcW w:w="1985" w:type="dxa"/>
            <w:tcBorders>
              <w:top w:val="single" w:sz="4" w:space="0" w:color="auto"/>
            </w:tcBorders>
          </w:tcPr>
          <w:p w14:paraId="54DD82CA" w14:textId="2BA886B0"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sz w:val="24"/>
                <w:szCs w:val="24"/>
              </w:rPr>
              <w:t>3.332.129,19</w:t>
            </w:r>
          </w:p>
        </w:tc>
        <w:tc>
          <w:tcPr>
            <w:tcW w:w="1842" w:type="dxa"/>
            <w:tcBorders>
              <w:top w:val="single" w:sz="4" w:space="0" w:color="auto"/>
            </w:tcBorders>
          </w:tcPr>
          <w:p w14:paraId="50EF6BA7" w14:textId="2D8CB06D"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20.002,84</w:t>
            </w:r>
          </w:p>
        </w:tc>
        <w:tc>
          <w:tcPr>
            <w:tcW w:w="2127" w:type="dxa"/>
            <w:tcBorders>
              <w:top w:val="single" w:sz="4" w:space="0" w:color="auto"/>
            </w:tcBorders>
          </w:tcPr>
          <w:p w14:paraId="0C01D191" w14:textId="2E23040A"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3.352.132,03</w:t>
            </w:r>
          </w:p>
        </w:tc>
      </w:tr>
      <w:tr w:rsidR="00B2644D" w:rsidRPr="00BE39F7" w14:paraId="38AB412A" w14:textId="77777777" w:rsidTr="00BE39F7">
        <w:trPr>
          <w:trHeight w:val="170"/>
        </w:trPr>
        <w:tc>
          <w:tcPr>
            <w:tcW w:w="3085" w:type="dxa"/>
            <w:vAlign w:val="center"/>
          </w:tcPr>
          <w:p w14:paraId="49DE9398" w14:textId="77777777" w:rsidR="00B2644D" w:rsidRPr="00BE39F7" w:rsidRDefault="00B2644D" w:rsidP="00B2644D">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Općina Malinska-Dubašnica</w:t>
            </w:r>
          </w:p>
        </w:tc>
        <w:tc>
          <w:tcPr>
            <w:tcW w:w="1985" w:type="dxa"/>
          </w:tcPr>
          <w:p w14:paraId="7AD10A01" w14:textId="7702D041"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iCs/>
                <w:sz w:val="24"/>
                <w:szCs w:val="24"/>
              </w:rPr>
              <w:t>7.599.566,79</w:t>
            </w:r>
          </w:p>
        </w:tc>
        <w:tc>
          <w:tcPr>
            <w:tcW w:w="1842" w:type="dxa"/>
          </w:tcPr>
          <w:p w14:paraId="4079B5C2" w14:textId="3B03BE44"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87.962,90</w:t>
            </w:r>
          </w:p>
        </w:tc>
        <w:tc>
          <w:tcPr>
            <w:tcW w:w="2127" w:type="dxa"/>
          </w:tcPr>
          <w:p w14:paraId="183EB4D0" w14:textId="1DC1665E"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7.687.529,69</w:t>
            </w:r>
          </w:p>
        </w:tc>
      </w:tr>
      <w:tr w:rsidR="00B2644D" w:rsidRPr="00BE39F7" w14:paraId="21F3D49B" w14:textId="77777777" w:rsidTr="00BE39F7">
        <w:trPr>
          <w:trHeight w:val="170"/>
        </w:trPr>
        <w:tc>
          <w:tcPr>
            <w:tcW w:w="3085" w:type="dxa"/>
            <w:vAlign w:val="center"/>
          </w:tcPr>
          <w:p w14:paraId="1CEFCB8A" w14:textId="77777777" w:rsidR="00B2644D" w:rsidRPr="00BE39F7" w:rsidRDefault="00B2644D" w:rsidP="00B2644D">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Grad Krk</w:t>
            </w:r>
          </w:p>
        </w:tc>
        <w:tc>
          <w:tcPr>
            <w:tcW w:w="1985" w:type="dxa"/>
          </w:tcPr>
          <w:p w14:paraId="36603A76" w14:textId="079E188A"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iCs/>
                <w:sz w:val="24"/>
                <w:szCs w:val="24"/>
              </w:rPr>
              <w:t>18.416.538,59</w:t>
            </w:r>
          </w:p>
        </w:tc>
        <w:tc>
          <w:tcPr>
            <w:tcW w:w="1842" w:type="dxa"/>
          </w:tcPr>
          <w:p w14:paraId="24AF85BA" w14:textId="37B4275E"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511.932,41</w:t>
            </w:r>
          </w:p>
        </w:tc>
        <w:tc>
          <w:tcPr>
            <w:tcW w:w="2127" w:type="dxa"/>
          </w:tcPr>
          <w:p w14:paraId="7CAA07A2" w14:textId="2EF66E9D"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18.928.471,00</w:t>
            </w:r>
          </w:p>
        </w:tc>
      </w:tr>
      <w:tr w:rsidR="00B2644D" w:rsidRPr="00BE39F7" w14:paraId="52116E27" w14:textId="77777777" w:rsidTr="00BE39F7">
        <w:trPr>
          <w:trHeight w:val="170"/>
        </w:trPr>
        <w:tc>
          <w:tcPr>
            <w:tcW w:w="3085" w:type="dxa"/>
            <w:vAlign w:val="center"/>
          </w:tcPr>
          <w:p w14:paraId="222FF070" w14:textId="77777777" w:rsidR="00B2644D" w:rsidRPr="00BE39F7" w:rsidRDefault="00B2644D" w:rsidP="00B2644D">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Punat</w:t>
            </w:r>
          </w:p>
        </w:tc>
        <w:tc>
          <w:tcPr>
            <w:tcW w:w="1985" w:type="dxa"/>
          </w:tcPr>
          <w:p w14:paraId="2427C005" w14:textId="03F97911"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sz w:val="24"/>
                <w:szCs w:val="24"/>
              </w:rPr>
              <w:t>6.108.139,94</w:t>
            </w:r>
          </w:p>
        </w:tc>
        <w:tc>
          <w:tcPr>
            <w:tcW w:w="1842" w:type="dxa"/>
          </w:tcPr>
          <w:p w14:paraId="23FE56A9" w14:textId="4B487B59"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32.141,39</w:t>
            </w:r>
          </w:p>
        </w:tc>
        <w:tc>
          <w:tcPr>
            <w:tcW w:w="2127" w:type="dxa"/>
          </w:tcPr>
          <w:p w14:paraId="6F4F58E0" w14:textId="3DC507A5"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6.140.281,33</w:t>
            </w:r>
          </w:p>
        </w:tc>
      </w:tr>
      <w:tr w:rsidR="00B2644D" w:rsidRPr="00BE39F7" w14:paraId="5718AAEE" w14:textId="77777777" w:rsidTr="00BE39F7">
        <w:trPr>
          <w:trHeight w:val="170"/>
        </w:trPr>
        <w:tc>
          <w:tcPr>
            <w:tcW w:w="3085" w:type="dxa"/>
            <w:vAlign w:val="center"/>
          </w:tcPr>
          <w:p w14:paraId="01BBB3DA" w14:textId="77777777" w:rsidR="00B2644D" w:rsidRPr="00BE39F7" w:rsidRDefault="00B2644D" w:rsidP="00B2644D">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Baška</w:t>
            </w:r>
          </w:p>
        </w:tc>
        <w:tc>
          <w:tcPr>
            <w:tcW w:w="1985" w:type="dxa"/>
          </w:tcPr>
          <w:p w14:paraId="18EF51F8" w14:textId="458CAFDE"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sz w:val="24"/>
                <w:szCs w:val="24"/>
              </w:rPr>
              <w:t>4.102.327,04</w:t>
            </w:r>
          </w:p>
        </w:tc>
        <w:tc>
          <w:tcPr>
            <w:tcW w:w="1842" w:type="dxa"/>
          </w:tcPr>
          <w:p w14:paraId="30284B2C" w14:textId="39859722"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14.454,61</w:t>
            </w:r>
          </w:p>
        </w:tc>
        <w:tc>
          <w:tcPr>
            <w:tcW w:w="2127" w:type="dxa"/>
          </w:tcPr>
          <w:p w14:paraId="14D8AAAF" w14:textId="376FF3A3"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4.116.781,65</w:t>
            </w:r>
          </w:p>
        </w:tc>
      </w:tr>
      <w:tr w:rsidR="00B2644D" w:rsidRPr="00BE39F7" w14:paraId="59A1302F" w14:textId="77777777" w:rsidTr="00BE39F7">
        <w:trPr>
          <w:trHeight w:val="170"/>
        </w:trPr>
        <w:tc>
          <w:tcPr>
            <w:tcW w:w="3085" w:type="dxa"/>
            <w:vAlign w:val="center"/>
          </w:tcPr>
          <w:p w14:paraId="68623E81" w14:textId="77777777" w:rsidR="00B2644D" w:rsidRPr="00BE39F7" w:rsidRDefault="00B2644D" w:rsidP="00B2644D">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Dobrinj</w:t>
            </w:r>
          </w:p>
        </w:tc>
        <w:tc>
          <w:tcPr>
            <w:tcW w:w="1985" w:type="dxa"/>
          </w:tcPr>
          <w:p w14:paraId="1C04D719" w14:textId="5E306C3E"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sz w:val="24"/>
                <w:szCs w:val="24"/>
              </w:rPr>
              <w:t>13.879.957,57</w:t>
            </w:r>
          </w:p>
        </w:tc>
        <w:tc>
          <w:tcPr>
            <w:tcW w:w="1842" w:type="dxa"/>
          </w:tcPr>
          <w:p w14:paraId="00BC93B5" w14:textId="0C1A970A"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28.133,29</w:t>
            </w:r>
          </w:p>
        </w:tc>
        <w:tc>
          <w:tcPr>
            <w:tcW w:w="2127" w:type="dxa"/>
          </w:tcPr>
          <w:p w14:paraId="5D7B2E04" w14:textId="767F8E26"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13.908.090,86</w:t>
            </w:r>
          </w:p>
        </w:tc>
      </w:tr>
      <w:tr w:rsidR="00B2644D" w:rsidRPr="00BE39F7" w14:paraId="48BD0649" w14:textId="77777777" w:rsidTr="00BE39F7">
        <w:trPr>
          <w:trHeight w:val="170"/>
        </w:trPr>
        <w:tc>
          <w:tcPr>
            <w:tcW w:w="3085" w:type="dxa"/>
            <w:vAlign w:val="center"/>
          </w:tcPr>
          <w:p w14:paraId="17C2737D" w14:textId="77777777" w:rsidR="00B2644D" w:rsidRPr="00BE39F7" w:rsidRDefault="00B2644D" w:rsidP="00B2644D">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Vrbnik</w:t>
            </w:r>
          </w:p>
        </w:tc>
        <w:tc>
          <w:tcPr>
            <w:tcW w:w="1985" w:type="dxa"/>
            <w:tcBorders>
              <w:bottom w:val="single" w:sz="4" w:space="0" w:color="auto"/>
            </w:tcBorders>
          </w:tcPr>
          <w:p w14:paraId="19D531EB" w14:textId="0615E0BE" w:rsidR="00B2644D" w:rsidRPr="00BE39F7" w:rsidRDefault="00B2644D" w:rsidP="00B2644D">
            <w:pPr>
              <w:spacing w:after="0" w:line="240" w:lineRule="auto"/>
              <w:jc w:val="right"/>
              <w:rPr>
                <w:rFonts w:ascii="Calibri" w:eastAsia="Times New Roman" w:hAnsi="Calibri" w:cs="Times New Roman"/>
                <w:sz w:val="24"/>
                <w:szCs w:val="24"/>
              </w:rPr>
            </w:pPr>
            <w:r w:rsidRPr="00BE39F7">
              <w:rPr>
                <w:rFonts w:ascii="Calibri" w:eastAsia="Times New Roman" w:hAnsi="Calibri" w:cs="Times New Roman"/>
                <w:iCs/>
                <w:sz w:val="24"/>
                <w:szCs w:val="24"/>
              </w:rPr>
              <w:t>2.629.435,41</w:t>
            </w:r>
          </w:p>
        </w:tc>
        <w:tc>
          <w:tcPr>
            <w:tcW w:w="1842" w:type="dxa"/>
            <w:tcBorders>
              <w:bottom w:val="single" w:sz="4" w:space="0" w:color="auto"/>
            </w:tcBorders>
          </w:tcPr>
          <w:p w14:paraId="22E8BDFE" w14:textId="568BB551"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150.630,00</w:t>
            </w:r>
          </w:p>
        </w:tc>
        <w:tc>
          <w:tcPr>
            <w:tcW w:w="2127" w:type="dxa"/>
            <w:tcBorders>
              <w:bottom w:val="single" w:sz="4" w:space="0" w:color="auto"/>
            </w:tcBorders>
          </w:tcPr>
          <w:p w14:paraId="55CD86E6" w14:textId="5D7CFADA" w:rsidR="00B2644D" w:rsidRPr="00BE39F7" w:rsidRDefault="00B2644D" w:rsidP="00B2644D">
            <w:pPr>
              <w:spacing w:after="0" w:line="240" w:lineRule="auto"/>
              <w:jc w:val="right"/>
              <w:rPr>
                <w:rFonts w:ascii="Calibri" w:eastAsia="Times New Roman" w:hAnsi="Calibri" w:cs="Times New Roman"/>
                <w:sz w:val="24"/>
                <w:szCs w:val="24"/>
              </w:rPr>
            </w:pPr>
            <w:r w:rsidRPr="00BE39F7">
              <w:rPr>
                <w:sz w:val="24"/>
                <w:szCs w:val="24"/>
              </w:rPr>
              <w:t>2.780.065,41</w:t>
            </w:r>
          </w:p>
        </w:tc>
      </w:tr>
      <w:tr w:rsidR="00B2644D" w:rsidRPr="00BE39F7" w14:paraId="40489CE7" w14:textId="77777777" w:rsidTr="00BE39F7">
        <w:trPr>
          <w:trHeight w:val="170"/>
        </w:trPr>
        <w:tc>
          <w:tcPr>
            <w:tcW w:w="3085" w:type="dxa"/>
            <w:vAlign w:val="center"/>
          </w:tcPr>
          <w:p w14:paraId="16A70B78" w14:textId="77777777" w:rsidR="00B2644D" w:rsidRPr="00BE39F7" w:rsidRDefault="00B2644D" w:rsidP="00B2644D">
            <w:pPr>
              <w:spacing w:after="0" w:line="240" w:lineRule="auto"/>
              <w:ind w:right="92"/>
              <w:rPr>
                <w:rFonts w:ascii="Calibri" w:eastAsia="Times New Roman" w:hAnsi="Calibri" w:cs="Times New Roman"/>
                <w:b/>
                <w:bCs/>
                <w:iCs/>
                <w:sz w:val="24"/>
                <w:szCs w:val="24"/>
              </w:rPr>
            </w:pPr>
            <w:r w:rsidRPr="00BE39F7">
              <w:rPr>
                <w:rFonts w:ascii="Calibri" w:eastAsia="Times New Roman" w:hAnsi="Calibri" w:cs="Times New Roman"/>
                <w:b/>
                <w:bCs/>
                <w:iCs/>
                <w:sz w:val="24"/>
                <w:szCs w:val="24"/>
              </w:rPr>
              <w:t>Ukupno stanje 31. prosinca</w:t>
            </w:r>
          </w:p>
        </w:tc>
        <w:tc>
          <w:tcPr>
            <w:tcW w:w="1985" w:type="dxa"/>
            <w:tcBorders>
              <w:top w:val="single" w:sz="4" w:space="0" w:color="auto"/>
              <w:bottom w:val="double" w:sz="4" w:space="0" w:color="auto"/>
            </w:tcBorders>
            <w:vAlign w:val="bottom"/>
          </w:tcPr>
          <w:p w14:paraId="216FB21E" w14:textId="22131FB6" w:rsidR="00B2644D" w:rsidRPr="00BE39F7" w:rsidRDefault="00B2644D" w:rsidP="00B2644D">
            <w:pPr>
              <w:tabs>
                <w:tab w:val="left" w:pos="1484"/>
                <w:tab w:val="left" w:pos="1913"/>
              </w:tabs>
              <w:spacing w:after="0" w:line="240" w:lineRule="auto"/>
              <w:jc w:val="right"/>
              <w:rPr>
                <w:rFonts w:ascii="Calibri" w:eastAsia="Times New Roman" w:hAnsi="Calibri" w:cs="Times New Roman"/>
                <w:b/>
                <w:bCs/>
                <w:iCs/>
                <w:sz w:val="24"/>
                <w:szCs w:val="24"/>
              </w:rPr>
            </w:pPr>
            <w:r w:rsidRPr="00BE39F7">
              <w:rPr>
                <w:rFonts w:ascii="Calibri" w:eastAsia="Times New Roman" w:hAnsi="Calibri" w:cs="Times New Roman"/>
                <w:b/>
                <w:iCs/>
                <w:sz w:val="24"/>
                <w:szCs w:val="24"/>
              </w:rPr>
              <w:t>56.068.094,53</w:t>
            </w:r>
          </w:p>
        </w:tc>
        <w:tc>
          <w:tcPr>
            <w:tcW w:w="1842" w:type="dxa"/>
            <w:tcBorders>
              <w:top w:val="single" w:sz="4" w:space="0" w:color="auto"/>
              <w:bottom w:val="double" w:sz="4" w:space="0" w:color="auto"/>
            </w:tcBorders>
            <w:vAlign w:val="bottom"/>
          </w:tcPr>
          <w:p w14:paraId="5510F33A" w14:textId="0704A24C" w:rsidR="00B2644D" w:rsidRPr="00BE39F7" w:rsidRDefault="00B2644D" w:rsidP="00B2644D">
            <w:pPr>
              <w:tabs>
                <w:tab w:val="left" w:pos="1484"/>
                <w:tab w:val="left" w:pos="1913"/>
              </w:tabs>
              <w:spacing w:after="0" w:line="240" w:lineRule="auto"/>
              <w:jc w:val="right"/>
              <w:rPr>
                <w:rFonts w:ascii="Calibri" w:eastAsia="Times New Roman" w:hAnsi="Calibri" w:cs="Times New Roman"/>
                <w:b/>
                <w:bCs/>
                <w:iCs/>
                <w:sz w:val="24"/>
                <w:szCs w:val="24"/>
              </w:rPr>
            </w:pPr>
            <w:r w:rsidRPr="00BE39F7">
              <w:rPr>
                <w:rFonts w:ascii="Calibri" w:eastAsia="Times New Roman" w:hAnsi="Calibri" w:cs="Times New Roman"/>
                <w:b/>
                <w:iCs/>
                <w:sz w:val="24"/>
                <w:szCs w:val="24"/>
              </w:rPr>
              <w:t>845.257,44</w:t>
            </w:r>
          </w:p>
        </w:tc>
        <w:tc>
          <w:tcPr>
            <w:tcW w:w="2127" w:type="dxa"/>
            <w:tcBorders>
              <w:top w:val="single" w:sz="4" w:space="0" w:color="auto"/>
              <w:bottom w:val="double" w:sz="4" w:space="0" w:color="auto"/>
            </w:tcBorders>
            <w:vAlign w:val="bottom"/>
          </w:tcPr>
          <w:p w14:paraId="064FD91B" w14:textId="41253F12" w:rsidR="00B2644D" w:rsidRPr="00BE39F7" w:rsidRDefault="00B2644D" w:rsidP="00B2644D">
            <w:pPr>
              <w:tabs>
                <w:tab w:val="left" w:pos="1484"/>
                <w:tab w:val="left" w:pos="1913"/>
              </w:tabs>
              <w:spacing w:after="0" w:line="240" w:lineRule="auto"/>
              <w:jc w:val="right"/>
              <w:rPr>
                <w:rFonts w:ascii="Calibri" w:eastAsia="Times New Roman" w:hAnsi="Calibri" w:cs="Times New Roman"/>
                <w:b/>
                <w:bCs/>
                <w:iCs/>
                <w:sz w:val="24"/>
                <w:szCs w:val="24"/>
              </w:rPr>
            </w:pPr>
            <w:r w:rsidRPr="00BE39F7">
              <w:rPr>
                <w:rFonts w:ascii="Calibri" w:eastAsia="Times New Roman" w:hAnsi="Calibri" w:cs="Times New Roman"/>
                <w:b/>
                <w:iCs/>
                <w:sz w:val="24"/>
                <w:szCs w:val="24"/>
              </w:rPr>
              <w:t>56.913.351,97</w:t>
            </w:r>
          </w:p>
        </w:tc>
      </w:tr>
    </w:tbl>
    <w:p w14:paraId="3CB81752" w14:textId="77777777" w:rsidR="003442D8" w:rsidRPr="00DF679C" w:rsidRDefault="003442D8" w:rsidP="003442D8">
      <w:pPr>
        <w:spacing w:after="0" w:line="240" w:lineRule="auto"/>
        <w:rPr>
          <w:rFonts w:ascii="Calibri" w:eastAsia="Times New Roman" w:hAnsi="Calibri" w:cs="Times New Roman"/>
          <w:b/>
          <w:bCs/>
          <w:iCs/>
          <w:sz w:val="20"/>
          <w:szCs w:val="20"/>
        </w:rPr>
      </w:pPr>
    </w:p>
    <w:p w14:paraId="7D63709D" w14:textId="77777777" w:rsidR="003442D8" w:rsidRPr="00DF679C" w:rsidRDefault="003442D8" w:rsidP="003442D8">
      <w:pPr>
        <w:spacing w:after="0" w:line="240" w:lineRule="auto"/>
        <w:rPr>
          <w:rFonts w:ascii="Calibri" w:eastAsia="Times New Roman" w:hAnsi="Calibri" w:cs="Times New Roman"/>
          <w:bCs/>
          <w:iCs/>
          <w:sz w:val="24"/>
          <w:szCs w:val="24"/>
        </w:rPr>
      </w:pPr>
      <w:r w:rsidRPr="00DF679C">
        <w:rPr>
          <w:rFonts w:ascii="Calibri" w:eastAsia="Times New Roman" w:hAnsi="Calibri" w:cs="Times New Roman"/>
          <w:b/>
          <w:bCs/>
          <w:iCs/>
          <w:sz w:val="24"/>
          <w:szCs w:val="24"/>
        </w:rPr>
        <w:t>/i/</w:t>
      </w:r>
      <w:r w:rsidRPr="00DF679C">
        <w:rPr>
          <w:rFonts w:ascii="Calibri" w:eastAsia="Times New Roman" w:hAnsi="Calibri" w:cs="Times New Roman"/>
          <w:bCs/>
          <w:iCs/>
          <w:sz w:val="24"/>
          <w:szCs w:val="24"/>
        </w:rPr>
        <w:tab/>
        <w:t>Povećanje kapitalnih rezervi  odnosi se na doznake sredstava za ulaganja u izgradnju vodovodnog i kanalizacijskog sustava.</w:t>
      </w:r>
    </w:p>
    <w:p w14:paraId="6AE43057" w14:textId="77777777" w:rsidR="003442D8" w:rsidRPr="00DF679C" w:rsidRDefault="003442D8" w:rsidP="003442D8">
      <w:pPr>
        <w:spacing w:after="0" w:line="240" w:lineRule="auto"/>
        <w:rPr>
          <w:rFonts w:ascii="Calibri" w:eastAsia="Times New Roman" w:hAnsi="Calibri" w:cs="Times New Roman"/>
          <w:b/>
          <w:bCs/>
          <w:iCs/>
          <w:sz w:val="20"/>
          <w:szCs w:val="20"/>
        </w:rPr>
      </w:pPr>
    </w:p>
    <w:p w14:paraId="3F4FF033" w14:textId="77777777" w:rsidR="004641A9" w:rsidRPr="00DF679C" w:rsidRDefault="004641A9" w:rsidP="003442D8">
      <w:pPr>
        <w:spacing w:after="0" w:line="240" w:lineRule="auto"/>
        <w:rPr>
          <w:rFonts w:ascii="Calibri" w:eastAsia="Times New Roman" w:hAnsi="Calibri" w:cs="Times New Roman"/>
          <w:b/>
          <w:bCs/>
          <w:iCs/>
          <w:sz w:val="20"/>
          <w:szCs w:val="20"/>
        </w:rPr>
      </w:pPr>
    </w:p>
    <w:p w14:paraId="0603C6C7"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DUGOROČNE OBVEZE </w:t>
      </w:r>
    </w:p>
    <w:p w14:paraId="59ED6EE6"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04C446A6" w14:textId="77777777" w:rsidR="003442D8" w:rsidRPr="00DF679C" w:rsidRDefault="003442D8" w:rsidP="00BE39F7">
      <w:pPr>
        <w:spacing w:after="0" w:line="240" w:lineRule="auto"/>
        <w:ind w:right="91"/>
        <w:jc w:val="both"/>
        <w:rPr>
          <w:rFonts w:ascii="Calibri" w:eastAsia="Times New Roman" w:hAnsi="Calibri" w:cs="Times New Roman"/>
          <w:iCs/>
          <w:sz w:val="24"/>
          <w:szCs w:val="24"/>
        </w:rPr>
      </w:pPr>
      <w:r w:rsidRPr="00DF679C">
        <w:rPr>
          <w:rFonts w:ascii="Calibri" w:eastAsia="Times New Roman" w:hAnsi="Calibri" w:cs="Times New Roman"/>
          <w:iCs/>
          <w:sz w:val="24"/>
          <w:szCs w:val="24"/>
        </w:rPr>
        <w:t>Dugoročne obveze predstavljaju obveze prema Hrvatskoj banci</w:t>
      </w:r>
      <w:r w:rsidR="003810BB" w:rsidRPr="00DF679C">
        <w:rPr>
          <w:rFonts w:ascii="Calibri" w:eastAsia="Times New Roman" w:hAnsi="Calibri" w:cs="Times New Roman"/>
          <w:iCs/>
          <w:sz w:val="24"/>
          <w:szCs w:val="24"/>
        </w:rPr>
        <w:t xml:space="preserve"> za obnovu i razvitak (HBOR), </w:t>
      </w:r>
      <w:r w:rsidRPr="00DF679C">
        <w:rPr>
          <w:rFonts w:ascii="Calibri" w:eastAsia="Times New Roman" w:hAnsi="Calibri" w:cs="Times New Roman"/>
          <w:iCs/>
          <w:sz w:val="24"/>
          <w:szCs w:val="24"/>
        </w:rPr>
        <w:t xml:space="preserve">obveze po preuzetom podzajmu od Hrvatskih voda, a vezano za Projekt </w:t>
      </w:r>
      <w:r w:rsidRPr="00DF679C">
        <w:rPr>
          <w:rFonts w:ascii="Calibri" w:eastAsia="Times New Roman" w:hAnsi="Calibri" w:cs="Times New Roman"/>
          <w:bCs/>
          <w:iCs/>
          <w:sz w:val="24"/>
          <w:szCs w:val="24"/>
        </w:rPr>
        <w:t>zaštite od onečišćenja voda u priobalnom području (tzv. Projekt Jadran)</w:t>
      </w:r>
      <w:r w:rsidR="003810BB" w:rsidRPr="00DF679C">
        <w:rPr>
          <w:rFonts w:ascii="Calibri" w:eastAsia="Times New Roman" w:hAnsi="Calibri" w:cs="Times New Roman"/>
          <w:bCs/>
          <w:iCs/>
          <w:sz w:val="24"/>
          <w:szCs w:val="24"/>
        </w:rPr>
        <w:t xml:space="preserve"> te obveze prema Privrednoj banci Zagreb za pokriće financijske korekcije (EU projekt)</w:t>
      </w:r>
      <w:r w:rsidRPr="00DF679C">
        <w:rPr>
          <w:rFonts w:ascii="Calibri" w:eastAsia="Times New Roman" w:hAnsi="Calibri" w:cs="Times New Roman"/>
          <w:bCs/>
          <w:iCs/>
          <w:sz w:val="24"/>
          <w:szCs w:val="24"/>
        </w:rPr>
        <w:t xml:space="preserve">. </w:t>
      </w:r>
    </w:p>
    <w:p w14:paraId="78D700A7" w14:textId="4D250593" w:rsidR="003442D8" w:rsidRPr="00DF679C" w:rsidRDefault="003442D8" w:rsidP="00BE39F7">
      <w:pPr>
        <w:spacing w:after="0" w:line="240" w:lineRule="auto"/>
        <w:ind w:right="91"/>
        <w:jc w:val="both"/>
        <w:rPr>
          <w:rFonts w:ascii="Calibri" w:eastAsia="Times New Roman" w:hAnsi="Calibri" w:cs="Times New Roman"/>
          <w:bCs/>
          <w:iCs/>
          <w:sz w:val="24"/>
          <w:szCs w:val="24"/>
        </w:rPr>
      </w:pPr>
      <w:r w:rsidRPr="00DF679C">
        <w:rPr>
          <w:rFonts w:ascii="Calibri" w:eastAsia="Times New Roman" w:hAnsi="Calibri" w:cs="Times New Roman"/>
          <w:bCs/>
          <w:iCs/>
          <w:sz w:val="24"/>
          <w:szCs w:val="24"/>
        </w:rPr>
        <w:t>Obvez</w:t>
      </w:r>
      <w:r w:rsidR="003735B7" w:rsidRPr="00DF679C">
        <w:rPr>
          <w:rFonts w:ascii="Calibri" w:eastAsia="Times New Roman" w:hAnsi="Calibri" w:cs="Times New Roman"/>
          <w:bCs/>
          <w:iCs/>
          <w:sz w:val="24"/>
          <w:szCs w:val="24"/>
        </w:rPr>
        <w:t>a</w:t>
      </w:r>
      <w:r w:rsidRPr="00DF679C">
        <w:rPr>
          <w:rFonts w:ascii="Calibri" w:eastAsia="Times New Roman" w:hAnsi="Calibri" w:cs="Times New Roman"/>
          <w:bCs/>
          <w:iCs/>
          <w:sz w:val="24"/>
          <w:szCs w:val="24"/>
        </w:rPr>
        <w:t xml:space="preserve"> </w:t>
      </w:r>
      <w:r w:rsidR="001F456E" w:rsidRPr="00DF679C">
        <w:rPr>
          <w:rFonts w:ascii="Calibri" w:eastAsia="Times New Roman" w:hAnsi="Calibri" w:cs="Times New Roman"/>
          <w:bCs/>
          <w:iCs/>
          <w:sz w:val="24"/>
          <w:szCs w:val="24"/>
        </w:rPr>
        <w:t>prema HBOR-u za</w:t>
      </w:r>
      <w:r w:rsidRPr="00DF679C">
        <w:rPr>
          <w:rFonts w:ascii="Calibri" w:eastAsia="Times New Roman" w:hAnsi="Calibri" w:cs="Times New Roman"/>
          <w:bCs/>
          <w:iCs/>
          <w:sz w:val="24"/>
          <w:szCs w:val="24"/>
        </w:rPr>
        <w:t xml:space="preserve"> kredit </w:t>
      </w:r>
      <w:r w:rsidR="001F456E" w:rsidRPr="00DF679C">
        <w:rPr>
          <w:rFonts w:ascii="Calibri" w:eastAsia="Times New Roman" w:hAnsi="Calibri" w:cs="Times New Roman"/>
          <w:bCs/>
          <w:iCs/>
          <w:sz w:val="24"/>
          <w:szCs w:val="24"/>
        </w:rPr>
        <w:t xml:space="preserve">(korišten kod rekonstrukcija transportnih cjevovoda) </w:t>
      </w:r>
      <w:r w:rsidRPr="00DF679C">
        <w:rPr>
          <w:rFonts w:ascii="Calibri" w:eastAsia="Times New Roman" w:hAnsi="Calibri" w:cs="Times New Roman"/>
          <w:bCs/>
          <w:iCs/>
          <w:sz w:val="24"/>
          <w:szCs w:val="24"/>
        </w:rPr>
        <w:t>s valutnom klauzulom iskazan</w:t>
      </w:r>
      <w:r w:rsidR="003735B7" w:rsidRPr="00DF679C">
        <w:rPr>
          <w:rFonts w:ascii="Calibri" w:eastAsia="Times New Roman" w:hAnsi="Calibri" w:cs="Times New Roman"/>
          <w:bCs/>
          <w:iCs/>
          <w:sz w:val="24"/>
          <w:szCs w:val="24"/>
        </w:rPr>
        <w:t>a je</w:t>
      </w:r>
      <w:r w:rsidRPr="00DF679C">
        <w:rPr>
          <w:rFonts w:ascii="Calibri" w:eastAsia="Times New Roman" w:hAnsi="Calibri" w:cs="Times New Roman"/>
          <w:bCs/>
          <w:iCs/>
          <w:sz w:val="24"/>
          <w:szCs w:val="24"/>
        </w:rPr>
        <w:t xml:space="preserve"> po srednjem tečaju Hrvatske narodn</w:t>
      </w:r>
      <w:r w:rsidR="003810BB" w:rsidRPr="00DF679C">
        <w:rPr>
          <w:rFonts w:ascii="Calibri" w:eastAsia="Times New Roman" w:hAnsi="Calibri" w:cs="Times New Roman"/>
          <w:bCs/>
          <w:iCs/>
          <w:sz w:val="24"/>
          <w:szCs w:val="24"/>
        </w:rPr>
        <w:t>e banke na dan 31. prosinca 20</w:t>
      </w:r>
      <w:r w:rsidR="00F90DBE" w:rsidRPr="00DF679C">
        <w:rPr>
          <w:rFonts w:ascii="Calibri" w:eastAsia="Times New Roman" w:hAnsi="Calibri" w:cs="Times New Roman"/>
          <w:bCs/>
          <w:iCs/>
          <w:sz w:val="24"/>
          <w:szCs w:val="24"/>
        </w:rPr>
        <w:t>20</w:t>
      </w:r>
      <w:r w:rsidRPr="00DF679C">
        <w:rPr>
          <w:rFonts w:ascii="Calibri" w:eastAsia="Times New Roman" w:hAnsi="Calibri" w:cs="Times New Roman"/>
          <w:bCs/>
          <w:iCs/>
          <w:sz w:val="24"/>
          <w:szCs w:val="24"/>
        </w:rPr>
        <w:t>. godine. Obveze po podzajmu za Projekt Jadran iskazane su u kunskom iznosu na dan formiranja obveze, odnosno na dan plaćanja dobavljaču iz Podzajma.</w:t>
      </w:r>
    </w:p>
    <w:p w14:paraId="6B410944" w14:textId="77777777" w:rsidR="00C15FEB" w:rsidRPr="00DF679C" w:rsidRDefault="00C15FEB" w:rsidP="00BE39F7">
      <w:pPr>
        <w:spacing w:after="0" w:line="240" w:lineRule="auto"/>
        <w:ind w:right="91"/>
        <w:jc w:val="both"/>
        <w:rPr>
          <w:rFonts w:ascii="Calibri" w:eastAsia="Times New Roman" w:hAnsi="Calibri" w:cs="Times New Roman"/>
          <w:bCs/>
          <w:iCs/>
          <w:sz w:val="24"/>
          <w:szCs w:val="24"/>
        </w:rPr>
      </w:pPr>
    </w:p>
    <w:p w14:paraId="390D669F" w14:textId="1A55708D" w:rsidR="003442D8" w:rsidRPr="00DF679C" w:rsidRDefault="003442D8" w:rsidP="00BE39F7">
      <w:pPr>
        <w:spacing w:after="0" w:line="240" w:lineRule="auto"/>
        <w:ind w:right="91"/>
        <w:jc w:val="both"/>
        <w:rPr>
          <w:rFonts w:ascii="Calibri" w:eastAsia="Times New Roman" w:hAnsi="Calibri" w:cs="Times New Roman"/>
          <w:iCs/>
          <w:sz w:val="24"/>
          <w:szCs w:val="24"/>
        </w:rPr>
      </w:pPr>
      <w:r w:rsidRPr="00DF679C">
        <w:rPr>
          <w:rFonts w:ascii="Calibri" w:eastAsia="Times New Roman" w:hAnsi="Calibri" w:cs="Times New Roman"/>
          <w:iCs/>
          <w:sz w:val="24"/>
          <w:szCs w:val="24"/>
        </w:rPr>
        <w:t>Promjene na dugoročn</w:t>
      </w:r>
      <w:r w:rsidR="003810BB" w:rsidRPr="00DF679C">
        <w:rPr>
          <w:rFonts w:ascii="Calibri" w:eastAsia="Times New Roman" w:hAnsi="Calibri" w:cs="Times New Roman"/>
          <w:iCs/>
          <w:sz w:val="24"/>
          <w:szCs w:val="24"/>
        </w:rPr>
        <w:t>im financijskim kreditima u 20</w:t>
      </w:r>
      <w:r w:rsidR="00F90DBE"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godini bile su sljedeće:</w:t>
      </w:r>
    </w:p>
    <w:p w14:paraId="5226B169"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tbl>
      <w:tblPr>
        <w:tblW w:w="9037" w:type="dxa"/>
        <w:tblLayout w:type="fixed"/>
        <w:tblLook w:val="01E0" w:firstRow="1" w:lastRow="1" w:firstColumn="1" w:lastColumn="1" w:noHBand="0" w:noVBand="0"/>
      </w:tblPr>
      <w:tblGrid>
        <w:gridCol w:w="4644"/>
        <w:gridCol w:w="142"/>
        <w:gridCol w:w="884"/>
        <w:gridCol w:w="1667"/>
        <w:gridCol w:w="1700"/>
      </w:tblGrid>
      <w:tr w:rsidR="003442D8" w:rsidRPr="00DF679C" w14:paraId="03552F4E" w14:textId="77777777" w:rsidTr="003442D8">
        <w:trPr>
          <w:trHeight w:val="285"/>
        </w:trPr>
        <w:tc>
          <w:tcPr>
            <w:tcW w:w="4644" w:type="dxa"/>
            <w:vAlign w:val="center"/>
          </w:tcPr>
          <w:p w14:paraId="3170E635" w14:textId="77777777" w:rsidR="003442D8" w:rsidRPr="00DF679C" w:rsidRDefault="003442D8" w:rsidP="003442D8">
            <w:pPr>
              <w:spacing w:after="0" w:line="240" w:lineRule="auto"/>
              <w:ind w:right="92"/>
              <w:rPr>
                <w:rFonts w:eastAsia="Times New Roman" w:cs="Times New Roman"/>
                <w:b/>
                <w:bCs/>
                <w:iCs/>
              </w:rPr>
            </w:pPr>
            <w:r w:rsidRPr="00DF679C">
              <w:rPr>
                <w:rFonts w:eastAsia="Times New Roman" w:cs="Times New Roman"/>
                <w:b/>
                <w:bCs/>
                <w:iCs/>
              </w:rPr>
              <w:t>OPIS</w:t>
            </w:r>
          </w:p>
        </w:tc>
        <w:tc>
          <w:tcPr>
            <w:tcW w:w="1026" w:type="dxa"/>
            <w:gridSpan w:val="2"/>
            <w:vMerge w:val="restart"/>
            <w:vAlign w:val="center"/>
          </w:tcPr>
          <w:p w14:paraId="533C49A8" w14:textId="77777777" w:rsidR="003442D8" w:rsidRPr="00DF679C" w:rsidRDefault="003442D8" w:rsidP="003442D8">
            <w:pPr>
              <w:spacing w:after="0" w:line="240" w:lineRule="auto"/>
              <w:ind w:right="92"/>
              <w:jc w:val="center"/>
              <w:rPr>
                <w:rFonts w:eastAsia="Times New Roman" w:cs="Times New Roman"/>
                <w:b/>
                <w:bCs/>
                <w:iCs/>
              </w:rPr>
            </w:pPr>
            <w:r w:rsidRPr="00DF679C">
              <w:rPr>
                <w:rFonts w:eastAsia="Times New Roman" w:cs="Times New Roman"/>
                <w:b/>
                <w:bCs/>
                <w:iCs/>
              </w:rPr>
              <w:t>Bilješka</w:t>
            </w:r>
          </w:p>
        </w:tc>
        <w:tc>
          <w:tcPr>
            <w:tcW w:w="1667" w:type="dxa"/>
          </w:tcPr>
          <w:p w14:paraId="4AE29A08" w14:textId="7DCD4B14" w:rsidR="003442D8" w:rsidRPr="00DF679C" w:rsidRDefault="00DA369B" w:rsidP="003442D8">
            <w:pPr>
              <w:spacing w:after="0" w:line="240" w:lineRule="auto"/>
              <w:ind w:right="92"/>
              <w:jc w:val="right"/>
              <w:rPr>
                <w:rFonts w:eastAsia="Times New Roman" w:cs="Times New Roman"/>
                <w:b/>
                <w:bCs/>
                <w:iCs/>
                <w:u w:val="single"/>
              </w:rPr>
            </w:pPr>
            <w:r w:rsidRPr="00DF679C">
              <w:rPr>
                <w:rFonts w:eastAsia="Times New Roman" w:cs="Times New Roman"/>
                <w:b/>
                <w:bCs/>
                <w:iCs/>
                <w:u w:val="single"/>
              </w:rPr>
              <w:t>201</w:t>
            </w:r>
            <w:r w:rsidR="00F90DBE" w:rsidRPr="00DF679C">
              <w:rPr>
                <w:rFonts w:eastAsia="Times New Roman" w:cs="Times New Roman"/>
                <w:b/>
                <w:bCs/>
                <w:iCs/>
                <w:u w:val="single"/>
              </w:rPr>
              <w:t>9</w:t>
            </w:r>
            <w:r w:rsidR="003442D8" w:rsidRPr="00DF679C">
              <w:rPr>
                <w:rFonts w:eastAsia="Times New Roman" w:cs="Times New Roman"/>
                <w:b/>
                <w:bCs/>
                <w:iCs/>
                <w:u w:val="single"/>
              </w:rPr>
              <w:t>.</w:t>
            </w:r>
          </w:p>
        </w:tc>
        <w:tc>
          <w:tcPr>
            <w:tcW w:w="1700" w:type="dxa"/>
            <w:vAlign w:val="center"/>
          </w:tcPr>
          <w:p w14:paraId="723C033D" w14:textId="008C0E4C" w:rsidR="003442D8" w:rsidRPr="00DF679C" w:rsidRDefault="00DA369B" w:rsidP="003442D8">
            <w:pPr>
              <w:spacing w:after="0" w:line="240" w:lineRule="auto"/>
              <w:ind w:right="92"/>
              <w:jc w:val="right"/>
              <w:rPr>
                <w:rFonts w:eastAsia="Times New Roman" w:cs="Times New Roman"/>
                <w:b/>
                <w:bCs/>
                <w:iCs/>
                <w:u w:val="single"/>
              </w:rPr>
            </w:pPr>
            <w:r w:rsidRPr="00DF679C">
              <w:rPr>
                <w:rFonts w:eastAsia="Times New Roman" w:cs="Times New Roman"/>
                <w:b/>
                <w:bCs/>
                <w:iCs/>
                <w:u w:val="single"/>
              </w:rPr>
              <w:t>20</w:t>
            </w:r>
            <w:r w:rsidR="00F90DBE" w:rsidRPr="00DF679C">
              <w:rPr>
                <w:rFonts w:eastAsia="Times New Roman" w:cs="Times New Roman"/>
                <w:b/>
                <w:bCs/>
                <w:iCs/>
                <w:u w:val="single"/>
              </w:rPr>
              <w:t>20</w:t>
            </w:r>
            <w:r w:rsidR="003442D8" w:rsidRPr="00DF679C">
              <w:rPr>
                <w:rFonts w:eastAsia="Times New Roman" w:cs="Times New Roman"/>
                <w:b/>
                <w:bCs/>
                <w:iCs/>
                <w:u w:val="single"/>
              </w:rPr>
              <w:t>.</w:t>
            </w:r>
          </w:p>
        </w:tc>
      </w:tr>
      <w:tr w:rsidR="003442D8" w:rsidRPr="00DF679C" w14:paraId="32BB373B" w14:textId="77777777" w:rsidTr="003442D8">
        <w:trPr>
          <w:trHeight w:val="372"/>
        </w:trPr>
        <w:tc>
          <w:tcPr>
            <w:tcW w:w="4644" w:type="dxa"/>
            <w:vAlign w:val="center"/>
          </w:tcPr>
          <w:p w14:paraId="7604656D" w14:textId="77777777" w:rsidR="003442D8" w:rsidRPr="00DF679C" w:rsidRDefault="003442D8" w:rsidP="003442D8">
            <w:pPr>
              <w:spacing w:after="0" w:line="240" w:lineRule="auto"/>
              <w:ind w:right="92"/>
              <w:rPr>
                <w:rFonts w:eastAsia="Times New Roman" w:cs="Times New Roman"/>
                <w:iCs/>
              </w:rPr>
            </w:pPr>
          </w:p>
        </w:tc>
        <w:tc>
          <w:tcPr>
            <w:tcW w:w="1026" w:type="dxa"/>
            <w:gridSpan w:val="2"/>
            <w:vMerge/>
            <w:vAlign w:val="center"/>
          </w:tcPr>
          <w:p w14:paraId="21B3F93E" w14:textId="77777777" w:rsidR="003442D8" w:rsidRPr="00DF679C" w:rsidRDefault="003442D8" w:rsidP="003442D8">
            <w:pPr>
              <w:spacing w:after="0" w:line="240" w:lineRule="auto"/>
              <w:ind w:right="92"/>
              <w:jc w:val="center"/>
              <w:rPr>
                <w:rFonts w:eastAsia="Times New Roman" w:cs="Times New Roman"/>
                <w:iCs/>
              </w:rPr>
            </w:pPr>
          </w:p>
        </w:tc>
        <w:tc>
          <w:tcPr>
            <w:tcW w:w="1667" w:type="dxa"/>
          </w:tcPr>
          <w:p w14:paraId="106D86A2" w14:textId="77777777" w:rsidR="003442D8" w:rsidRPr="00DF679C" w:rsidRDefault="003442D8" w:rsidP="003442D8">
            <w:pPr>
              <w:spacing w:after="0" w:line="240" w:lineRule="auto"/>
              <w:ind w:right="92"/>
              <w:jc w:val="right"/>
              <w:rPr>
                <w:rFonts w:eastAsia="Times New Roman" w:cs="Times New Roman"/>
                <w:b/>
                <w:bCs/>
                <w:iCs/>
              </w:rPr>
            </w:pPr>
            <w:r w:rsidRPr="00DF679C">
              <w:rPr>
                <w:rFonts w:eastAsia="Times New Roman" w:cs="Times New Roman"/>
                <w:b/>
                <w:bCs/>
                <w:iCs/>
              </w:rPr>
              <w:t>HRK</w:t>
            </w:r>
          </w:p>
        </w:tc>
        <w:tc>
          <w:tcPr>
            <w:tcW w:w="1700" w:type="dxa"/>
            <w:vAlign w:val="center"/>
          </w:tcPr>
          <w:p w14:paraId="54D2B6CA" w14:textId="77777777" w:rsidR="003442D8" w:rsidRPr="00DF679C" w:rsidRDefault="003442D8" w:rsidP="003442D8">
            <w:pPr>
              <w:spacing w:after="0" w:line="240" w:lineRule="auto"/>
              <w:ind w:right="92"/>
              <w:jc w:val="right"/>
              <w:rPr>
                <w:rFonts w:eastAsia="Times New Roman" w:cs="Times New Roman"/>
                <w:b/>
                <w:bCs/>
                <w:iCs/>
              </w:rPr>
            </w:pPr>
            <w:r w:rsidRPr="00DF679C">
              <w:rPr>
                <w:rFonts w:eastAsia="Times New Roman" w:cs="Times New Roman"/>
                <w:b/>
                <w:bCs/>
                <w:iCs/>
              </w:rPr>
              <w:t>HRK</w:t>
            </w:r>
          </w:p>
        </w:tc>
      </w:tr>
      <w:tr w:rsidR="00F90DBE" w:rsidRPr="00DF679C" w14:paraId="4B729642" w14:textId="77777777" w:rsidTr="003442D8">
        <w:trPr>
          <w:trHeight w:val="312"/>
        </w:trPr>
        <w:tc>
          <w:tcPr>
            <w:tcW w:w="4786" w:type="dxa"/>
            <w:gridSpan w:val="2"/>
            <w:vAlign w:val="center"/>
          </w:tcPr>
          <w:p w14:paraId="53428FB9" w14:textId="77777777" w:rsidR="00F90DBE" w:rsidRPr="00DF679C" w:rsidRDefault="00F90DBE" w:rsidP="00F90DBE">
            <w:pPr>
              <w:spacing w:after="0" w:line="240" w:lineRule="auto"/>
              <w:ind w:right="92"/>
              <w:rPr>
                <w:rFonts w:eastAsia="Times New Roman" w:cs="Times New Roman"/>
                <w:iCs/>
              </w:rPr>
            </w:pPr>
            <w:r w:rsidRPr="00DF679C">
              <w:rPr>
                <w:rFonts w:eastAsia="Times New Roman" w:cs="Times New Roman"/>
                <w:iCs/>
              </w:rPr>
              <w:t>Stanje 1. siječnja</w:t>
            </w:r>
          </w:p>
        </w:tc>
        <w:tc>
          <w:tcPr>
            <w:tcW w:w="884" w:type="dxa"/>
            <w:vAlign w:val="center"/>
          </w:tcPr>
          <w:p w14:paraId="3B909C60" w14:textId="77777777" w:rsidR="00F90DBE" w:rsidRPr="00DF679C" w:rsidRDefault="00F90DBE" w:rsidP="00F90DBE">
            <w:pPr>
              <w:spacing w:after="0" w:line="240" w:lineRule="auto"/>
              <w:ind w:right="92"/>
              <w:jc w:val="center"/>
              <w:rPr>
                <w:rFonts w:eastAsia="Times New Roman" w:cs="Times New Roman"/>
                <w:iCs/>
              </w:rPr>
            </w:pPr>
          </w:p>
        </w:tc>
        <w:tc>
          <w:tcPr>
            <w:tcW w:w="1667" w:type="dxa"/>
            <w:tcBorders>
              <w:bottom w:val="single" w:sz="4" w:space="0" w:color="auto"/>
            </w:tcBorders>
            <w:vAlign w:val="center"/>
          </w:tcPr>
          <w:p w14:paraId="35CBE57E" w14:textId="1207A82E"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35.707.735,99</w:t>
            </w:r>
          </w:p>
        </w:tc>
        <w:tc>
          <w:tcPr>
            <w:tcW w:w="1700" w:type="dxa"/>
            <w:tcBorders>
              <w:bottom w:val="single" w:sz="4" w:space="0" w:color="auto"/>
            </w:tcBorders>
            <w:vAlign w:val="center"/>
          </w:tcPr>
          <w:p w14:paraId="6A2FEBB6" w14:textId="13D80752"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51.460.878,71</w:t>
            </w:r>
          </w:p>
        </w:tc>
      </w:tr>
      <w:tr w:rsidR="00F90DBE" w:rsidRPr="00DF679C" w14:paraId="3F58B1B9" w14:textId="77777777" w:rsidTr="003442D8">
        <w:trPr>
          <w:trHeight w:val="255"/>
        </w:trPr>
        <w:tc>
          <w:tcPr>
            <w:tcW w:w="4786" w:type="dxa"/>
            <w:gridSpan w:val="2"/>
            <w:vAlign w:val="center"/>
          </w:tcPr>
          <w:p w14:paraId="05FB4676" w14:textId="77777777" w:rsidR="00F90DBE" w:rsidRPr="00DF679C" w:rsidRDefault="00F90DBE" w:rsidP="00F90DBE">
            <w:pPr>
              <w:spacing w:after="0" w:line="240" w:lineRule="auto"/>
              <w:ind w:right="92"/>
              <w:rPr>
                <w:rFonts w:eastAsia="Times New Roman" w:cs="Times New Roman"/>
                <w:iCs/>
              </w:rPr>
            </w:pPr>
            <w:r w:rsidRPr="00DF679C">
              <w:rPr>
                <w:rFonts w:eastAsia="Times New Roman" w:cs="Times New Roman"/>
                <w:iCs/>
              </w:rPr>
              <w:t xml:space="preserve">Povećanje kredita u toku godine                                                   </w:t>
            </w:r>
          </w:p>
        </w:tc>
        <w:tc>
          <w:tcPr>
            <w:tcW w:w="884" w:type="dxa"/>
            <w:vAlign w:val="center"/>
          </w:tcPr>
          <w:p w14:paraId="13CAC03D" w14:textId="77777777" w:rsidR="00F90DBE" w:rsidRPr="00DF679C" w:rsidRDefault="00F90DBE" w:rsidP="00F90DBE">
            <w:pPr>
              <w:spacing w:after="0" w:line="240" w:lineRule="auto"/>
              <w:ind w:right="92"/>
              <w:jc w:val="center"/>
              <w:rPr>
                <w:rFonts w:eastAsia="Times New Roman" w:cs="Times New Roman"/>
                <w:b/>
                <w:iCs/>
              </w:rPr>
            </w:pPr>
            <w:r w:rsidRPr="00DF679C">
              <w:rPr>
                <w:rFonts w:eastAsia="Times New Roman" w:cs="Times New Roman"/>
                <w:b/>
                <w:iCs/>
              </w:rPr>
              <w:t xml:space="preserve">/i/                              </w:t>
            </w:r>
          </w:p>
        </w:tc>
        <w:tc>
          <w:tcPr>
            <w:tcW w:w="1667" w:type="dxa"/>
            <w:tcBorders>
              <w:top w:val="single" w:sz="4" w:space="0" w:color="auto"/>
            </w:tcBorders>
            <w:vAlign w:val="center"/>
          </w:tcPr>
          <w:p w14:paraId="643D8D72" w14:textId="7F8851B8"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24.437.393,30</w:t>
            </w:r>
          </w:p>
        </w:tc>
        <w:tc>
          <w:tcPr>
            <w:tcW w:w="1700" w:type="dxa"/>
            <w:tcBorders>
              <w:top w:val="single" w:sz="4" w:space="0" w:color="auto"/>
            </w:tcBorders>
            <w:vAlign w:val="center"/>
          </w:tcPr>
          <w:p w14:paraId="28682B7A" w14:textId="7759A845"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19.233.676,80</w:t>
            </w:r>
          </w:p>
        </w:tc>
      </w:tr>
      <w:tr w:rsidR="00F90DBE" w:rsidRPr="00DF679C" w14:paraId="67F7A42B" w14:textId="77777777" w:rsidTr="003442D8">
        <w:trPr>
          <w:trHeight w:val="255"/>
        </w:trPr>
        <w:tc>
          <w:tcPr>
            <w:tcW w:w="4786" w:type="dxa"/>
            <w:gridSpan w:val="2"/>
            <w:vAlign w:val="center"/>
          </w:tcPr>
          <w:p w14:paraId="7409956E" w14:textId="77777777" w:rsidR="00F90DBE" w:rsidRPr="00DF679C" w:rsidRDefault="00F90DBE" w:rsidP="00F90DBE">
            <w:pPr>
              <w:spacing w:after="0" w:line="240" w:lineRule="auto"/>
              <w:ind w:right="92"/>
              <w:rPr>
                <w:rFonts w:eastAsia="Times New Roman" w:cs="Times New Roman"/>
                <w:iCs/>
              </w:rPr>
            </w:pPr>
            <w:r w:rsidRPr="00DF679C">
              <w:rPr>
                <w:rFonts w:eastAsia="Times New Roman" w:cs="Times New Roman"/>
                <w:iCs/>
              </w:rPr>
              <w:t>Otplata glavnice</w:t>
            </w:r>
          </w:p>
        </w:tc>
        <w:tc>
          <w:tcPr>
            <w:tcW w:w="884" w:type="dxa"/>
            <w:vAlign w:val="center"/>
          </w:tcPr>
          <w:p w14:paraId="2EB6869C" w14:textId="77777777" w:rsidR="00F90DBE" w:rsidRPr="00DF679C" w:rsidRDefault="00F90DBE" w:rsidP="00F90DBE">
            <w:pPr>
              <w:spacing w:after="0" w:line="240" w:lineRule="auto"/>
              <w:ind w:right="92"/>
              <w:jc w:val="center"/>
              <w:rPr>
                <w:rFonts w:eastAsia="Times New Roman" w:cs="Times New Roman"/>
                <w:b/>
                <w:iCs/>
              </w:rPr>
            </w:pPr>
            <w:r w:rsidRPr="00DF679C">
              <w:rPr>
                <w:rFonts w:eastAsia="Times New Roman" w:cs="Times New Roman"/>
                <w:b/>
                <w:iCs/>
              </w:rPr>
              <w:t xml:space="preserve">  </w:t>
            </w:r>
          </w:p>
        </w:tc>
        <w:tc>
          <w:tcPr>
            <w:tcW w:w="1667" w:type="dxa"/>
            <w:vAlign w:val="center"/>
          </w:tcPr>
          <w:p w14:paraId="2B56ED02" w14:textId="40FEF904"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(8.677.321,29)</w:t>
            </w:r>
          </w:p>
        </w:tc>
        <w:tc>
          <w:tcPr>
            <w:tcW w:w="1700" w:type="dxa"/>
            <w:vAlign w:val="center"/>
          </w:tcPr>
          <w:p w14:paraId="40CF3381" w14:textId="23692C37"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(3.972.332,88)</w:t>
            </w:r>
          </w:p>
        </w:tc>
      </w:tr>
      <w:tr w:rsidR="00F90DBE" w:rsidRPr="00DF679C" w14:paraId="0DFE348B" w14:textId="77777777" w:rsidTr="003442D8">
        <w:trPr>
          <w:trHeight w:val="255"/>
        </w:trPr>
        <w:tc>
          <w:tcPr>
            <w:tcW w:w="4786" w:type="dxa"/>
            <w:gridSpan w:val="2"/>
            <w:vAlign w:val="center"/>
          </w:tcPr>
          <w:p w14:paraId="2261EA54" w14:textId="7F44A7C5" w:rsidR="00F90DBE" w:rsidRPr="00DF679C" w:rsidRDefault="009048EB" w:rsidP="00F90DBE">
            <w:pPr>
              <w:spacing w:after="0" w:line="240" w:lineRule="auto"/>
              <w:ind w:right="92"/>
              <w:rPr>
                <w:rFonts w:eastAsia="Times New Roman" w:cs="Times New Roman"/>
                <w:iCs/>
              </w:rPr>
            </w:pPr>
            <w:r w:rsidRPr="00DF679C">
              <w:rPr>
                <w:rFonts w:eastAsia="Times New Roman" w:cs="Times New Roman"/>
                <w:iCs/>
              </w:rPr>
              <w:t>(Pozitivne) / n</w:t>
            </w:r>
            <w:r w:rsidR="00F90DBE" w:rsidRPr="00DF679C">
              <w:rPr>
                <w:rFonts w:eastAsia="Times New Roman" w:cs="Times New Roman"/>
                <w:iCs/>
              </w:rPr>
              <w:t>egativne tečajne razlike</w:t>
            </w:r>
          </w:p>
        </w:tc>
        <w:tc>
          <w:tcPr>
            <w:tcW w:w="884" w:type="dxa"/>
            <w:vAlign w:val="center"/>
          </w:tcPr>
          <w:p w14:paraId="216750CA" w14:textId="77777777" w:rsidR="00F90DBE" w:rsidRPr="00DF679C" w:rsidRDefault="00F90DBE" w:rsidP="00F90DBE">
            <w:pPr>
              <w:spacing w:after="0" w:line="240" w:lineRule="auto"/>
              <w:ind w:right="92"/>
              <w:jc w:val="center"/>
              <w:rPr>
                <w:rFonts w:eastAsia="Times New Roman" w:cs="Times New Roman"/>
                <w:b/>
                <w:iCs/>
              </w:rPr>
            </w:pPr>
            <w:r w:rsidRPr="00DF679C">
              <w:rPr>
                <w:rFonts w:eastAsia="Times New Roman" w:cs="Times New Roman"/>
                <w:b/>
                <w:iCs/>
              </w:rPr>
              <w:t>/iv/</w:t>
            </w:r>
          </w:p>
        </w:tc>
        <w:tc>
          <w:tcPr>
            <w:tcW w:w="1667" w:type="dxa"/>
            <w:vAlign w:val="center"/>
          </w:tcPr>
          <w:p w14:paraId="139318AC" w14:textId="7927CD08"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(6.929,29)</w:t>
            </w:r>
          </w:p>
        </w:tc>
        <w:tc>
          <w:tcPr>
            <w:tcW w:w="1700" w:type="dxa"/>
            <w:vAlign w:val="center"/>
          </w:tcPr>
          <w:p w14:paraId="0D26364F" w14:textId="279FEBE0" w:rsidR="00F90DBE" w:rsidRPr="00DF679C" w:rsidRDefault="009048EB" w:rsidP="00F90DBE">
            <w:pPr>
              <w:spacing w:after="0" w:line="240" w:lineRule="auto"/>
              <w:jc w:val="right"/>
              <w:rPr>
                <w:rFonts w:eastAsia="Times New Roman" w:cs="Times New Roman"/>
              </w:rPr>
            </w:pPr>
            <w:r w:rsidRPr="00DF679C">
              <w:rPr>
                <w:rFonts w:eastAsia="Times New Roman" w:cs="Times New Roman"/>
              </w:rPr>
              <w:t>206.811,22</w:t>
            </w:r>
          </w:p>
        </w:tc>
      </w:tr>
      <w:tr w:rsidR="00F90DBE" w:rsidRPr="00DF679C" w14:paraId="39342602" w14:textId="77777777" w:rsidTr="003442D8">
        <w:trPr>
          <w:trHeight w:val="240"/>
        </w:trPr>
        <w:tc>
          <w:tcPr>
            <w:tcW w:w="4786" w:type="dxa"/>
            <w:gridSpan w:val="2"/>
            <w:vAlign w:val="center"/>
          </w:tcPr>
          <w:p w14:paraId="6C3262AE" w14:textId="77777777" w:rsidR="00F90DBE" w:rsidRPr="00DF679C" w:rsidRDefault="00F90DBE" w:rsidP="00F90DBE">
            <w:pPr>
              <w:spacing w:after="0" w:line="240" w:lineRule="auto"/>
              <w:ind w:right="92"/>
              <w:rPr>
                <w:rFonts w:eastAsia="Times New Roman" w:cs="Times New Roman"/>
                <w:iCs/>
              </w:rPr>
            </w:pPr>
            <w:r w:rsidRPr="00DF679C">
              <w:rPr>
                <w:rFonts w:eastAsia="Times New Roman" w:cs="Times New Roman"/>
                <w:iCs/>
              </w:rPr>
              <w:t>Ukupno</w:t>
            </w:r>
          </w:p>
        </w:tc>
        <w:tc>
          <w:tcPr>
            <w:tcW w:w="884" w:type="dxa"/>
            <w:vAlign w:val="center"/>
          </w:tcPr>
          <w:p w14:paraId="6400912A" w14:textId="77777777" w:rsidR="00F90DBE" w:rsidRPr="00DF679C" w:rsidRDefault="00F90DBE" w:rsidP="00F90DBE">
            <w:pPr>
              <w:spacing w:after="0" w:line="240" w:lineRule="auto"/>
              <w:ind w:right="92"/>
              <w:jc w:val="center"/>
              <w:rPr>
                <w:rFonts w:eastAsia="Times New Roman" w:cs="Times New Roman"/>
                <w:b/>
                <w:iCs/>
              </w:rPr>
            </w:pPr>
          </w:p>
        </w:tc>
        <w:tc>
          <w:tcPr>
            <w:tcW w:w="1667" w:type="dxa"/>
            <w:tcBorders>
              <w:top w:val="single" w:sz="4" w:space="0" w:color="auto"/>
              <w:bottom w:val="single" w:sz="4" w:space="0" w:color="auto"/>
            </w:tcBorders>
            <w:vAlign w:val="center"/>
          </w:tcPr>
          <w:p w14:paraId="04CDDE17" w14:textId="7CB2CA8A" w:rsidR="00F90DBE" w:rsidRPr="00DF679C" w:rsidRDefault="00F90DBE" w:rsidP="00F90DBE">
            <w:pPr>
              <w:spacing w:after="0" w:line="240" w:lineRule="auto"/>
              <w:jc w:val="right"/>
              <w:rPr>
                <w:rFonts w:eastAsia="Times New Roman" w:cs="Times New Roman"/>
              </w:rPr>
            </w:pPr>
            <w:r w:rsidRPr="00DF679C">
              <w:rPr>
                <w:rFonts w:eastAsia="Times New Roman" w:cs="Times New Roman"/>
                <w:iCs/>
              </w:rPr>
              <w:t>51.460.878,71</w:t>
            </w:r>
          </w:p>
        </w:tc>
        <w:tc>
          <w:tcPr>
            <w:tcW w:w="1700" w:type="dxa"/>
            <w:tcBorders>
              <w:top w:val="single" w:sz="4" w:space="0" w:color="auto"/>
              <w:bottom w:val="single" w:sz="4" w:space="0" w:color="auto"/>
            </w:tcBorders>
            <w:vAlign w:val="center"/>
          </w:tcPr>
          <w:p w14:paraId="68CDC60F" w14:textId="1406E5CD" w:rsidR="00F90DBE" w:rsidRPr="00DF679C" w:rsidRDefault="00F90DBE" w:rsidP="00F90DBE">
            <w:pPr>
              <w:spacing w:after="0" w:line="240" w:lineRule="auto"/>
              <w:jc w:val="right"/>
              <w:rPr>
                <w:rFonts w:eastAsia="Times New Roman" w:cs="Times New Roman"/>
              </w:rPr>
            </w:pPr>
            <w:r w:rsidRPr="00DF679C">
              <w:rPr>
                <w:rFonts w:eastAsia="Times New Roman" w:cs="Times New Roman"/>
                <w:iCs/>
              </w:rPr>
              <w:t>66.929.033,85</w:t>
            </w:r>
          </w:p>
        </w:tc>
      </w:tr>
      <w:tr w:rsidR="00F90DBE" w:rsidRPr="00DF679C" w14:paraId="39F43427" w14:textId="77777777" w:rsidTr="00DA369B">
        <w:trPr>
          <w:trHeight w:val="272"/>
        </w:trPr>
        <w:tc>
          <w:tcPr>
            <w:tcW w:w="4786" w:type="dxa"/>
            <w:gridSpan w:val="2"/>
            <w:vAlign w:val="center"/>
          </w:tcPr>
          <w:p w14:paraId="20A2FE89" w14:textId="77777777" w:rsidR="00F90DBE" w:rsidRPr="00DF679C" w:rsidRDefault="00F90DBE" w:rsidP="00F90DBE">
            <w:pPr>
              <w:spacing w:after="0" w:line="240" w:lineRule="auto"/>
              <w:ind w:right="92"/>
              <w:rPr>
                <w:rFonts w:eastAsia="Times New Roman" w:cs="Times New Roman"/>
                <w:iCs/>
              </w:rPr>
            </w:pPr>
            <w:r w:rsidRPr="00DF679C">
              <w:rPr>
                <w:rFonts w:eastAsia="Times New Roman" w:cs="Times New Roman"/>
                <w:b/>
                <w:bCs/>
                <w:iCs/>
              </w:rPr>
              <w:t>minus</w:t>
            </w:r>
            <w:r w:rsidRPr="00DF679C">
              <w:rPr>
                <w:rFonts w:eastAsia="Times New Roman" w:cs="Times New Roman"/>
                <w:iCs/>
              </w:rPr>
              <w:t>: - dio obveza po dugoročnim kreditima</w:t>
            </w:r>
          </w:p>
        </w:tc>
        <w:tc>
          <w:tcPr>
            <w:tcW w:w="884" w:type="dxa"/>
            <w:vMerge w:val="restart"/>
          </w:tcPr>
          <w:p w14:paraId="280B7F26" w14:textId="77777777" w:rsidR="00F90DBE" w:rsidRPr="00DF679C" w:rsidRDefault="00F90DBE" w:rsidP="00F90DBE">
            <w:pPr>
              <w:spacing w:after="0" w:line="240" w:lineRule="auto"/>
              <w:ind w:right="92"/>
              <w:jc w:val="center"/>
              <w:rPr>
                <w:rFonts w:eastAsia="Times New Roman" w:cs="Times New Roman"/>
                <w:b/>
                <w:iCs/>
              </w:rPr>
            </w:pPr>
            <w:r w:rsidRPr="00DF679C">
              <w:rPr>
                <w:rFonts w:eastAsia="Times New Roman" w:cs="Times New Roman"/>
                <w:b/>
                <w:iCs/>
              </w:rPr>
              <w:t>/ii/</w:t>
            </w:r>
          </w:p>
        </w:tc>
        <w:tc>
          <w:tcPr>
            <w:tcW w:w="1667" w:type="dxa"/>
            <w:tcBorders>
              <w:top w:val="single" w:sz="4" w:space="0" w:color="auto"/>
            </w:tcBorders>
            <w:vAlign w:val="center"/>
          </w:tcPr>
          <w:p w14:paraId="5C19A32E" w14:textId="11E9395F"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(4.849.335,23)</w:t>
            </w:r>
          </w:p>
        </w:tc>
        <w:tc>
          <w:tcPr>
            <w:tcW w:w="1700" w:type="dxa"/>
            <w:tcBorders>
              <w:top w:val="single" w:sz="4" w:space="0" w:color="auto"/>
            </w:tcBorders>
            <w:vAlign w:val="center"/>
          </w:tcPr>
          <w:p w14:paraId="5E95F566" w14:textId="2A8AE566" w:rsidR="00F90DBE" w:rsidRPr="00DF679C" w:rsidRDefault="00F90DBE" w:rsidP="00F90DBE">
            <w:pPr>
              <w:spacing w:after="0" w:line="240" w:lineRule="auto"/>
              <w:jc w:val="right"/>
              <w:rPr>
                <w:rFonts w:eastAsia="Times New Roman" w:cs="Times New Roman"/>
              </w:rPr>
            </w:pPr>
            <w:r w:rsidRPr="00DF679C">
              <w:rPr>
                <w:rFonts w:eastAsia="Times New Roman" w:cs="Times New Roman"/>
              </w:rPr>
              <w:t>(4.826.205,34)</w:t>
            </w:r>
          </w:p>
        </w:tc>
      </w:tr>
      <w:tr w:rsidR="00F90DBE" w:rsidRPr="00DF679C" w14:paraId="381212B5" w14:textId="77777777" w:rsidTr="00DA369B">
        <w:trPr>
          <w:trHeight w:val="240"/>
        </w:trPr>
        <w:tc>
          <w:tcPr>
            <w:tcW w:w="4786" w:type="dxa"/>
            <w:gridSpan w:val="2"/>
            <w:vAlign w:val="center"/>
          </w:tcPr>
          <w:p w14:paraId="68819DCC" w14:textId="1B253BFB" w:rsidR="00F90DBE" w:rsidRPr="00DF679C" w:rsidRDefault="00F90DBE" w:rsidP="00F90DBE">
            <w:pPr>
              <w:spacing w:after="0" w:line="240" w:lineRule="auto"/>
              <w:ind w:right="92"/>
              <w:rPr>
                <w:rFonts w:eastAsia="Times New Roman" w:cs="Times New Roman"/>
                <w:iCs/>
              </w:rPr>
            </w:pPr>
            <w:r w:rsidRPr="00DF679C">
              <w:rPr>
                <w:rFonts w:eastAsia="Times New Roman" w:cs="Times New Roman"/>
                <w:iCs/>
              </w:rPr>
              <w:t xml:space="preserve">              koji dospijevaju u toku 2021. godine</w:t>
            </w:r>
          </w:p>
        </w:tc>
        <w:tc>
          <w:tcPr>
            <w:tcW w:w="884" w:type="dxa"/>
            <w:vMerge/>
            <w:vAlign w:val="center"/>
          </w:tcPr>
          <w:p w14:paraId="4F8F8EF3" w14:textId="77777777" w:rsidR="00F90DBE" w:rsidRPr="00DF679C" w:rsidRDefault="00F90DBE" w:rsidP="00F90DBE">
            <w:pPr>
              <w:spacing w:after="0" w:line="240" w:lineRule="auto"/>
              <w:ind w:right="92"/>
              <w:jc w:val="center"/>
              <w:rPr>
                <w:rFonts w:eastAsia="Times New Roman" w:cs="Times New Roman"/>
                <w:b/>
                <w:iCs/>
              </w:rPr>
            </w:pPr>
          </w:p>
        </w:tc>
        <w:tc>
          <w:tcPr>
            <w:tcW w:w="1667" w:type="dxa"/>
            <w:vAlign w:val="center"/>
          </w:tcPr>
          <w:p w14:paraId="516BD313" w14:textId="77777777" w:rsidR="00F90DBE" w:rsidRPr="00DF679C" w:rsidRDefault="00F90DBE" w:rsidP="00F90DBE">
            <w:pPr>
              <w:spacing w:after="0" w:line="240" w:lineRule="auto"/>
              <w:ind w:right="92"/>
              <w:jc w:val="right"/>
              <w:rPr>
                <w:rFonts w:eastAsia="Times New Roman" w:cs="Times New Roman"/>
                <w:iCs/>
              </w:rPr>
            </w:pPr>
          </w:p>
        </w:tc>
        <w:tc>
          <w:tcPr>
            <w:tcW w:w="1700" w:type="dxa"/>
            <w:vAlign w:val="center"/>
          </w:tcPr>
          <w:p w14:paraId="308D4EBA" w14:textId="77777777" w:rsidR="00F90DBE" w:rsidRPr="00DF679C" w:rsidRDefault="00F90DBE" w:rsidP="00F90DBE">
            <w:pPr>
              <w:spacing w:after="0" w:line="240" w:lineRule="auto"/>
              <w:ind w:right="92"/>
              <w:jc w:val="right"/>
              <w:rPr>
                <w:rFonts w:eastAsia="Times New Roman" w:cs="Times New Roman"/>
                <w:iCs/>
              </w:rPr>
            </w:pPr>
          </w:p>
        </w:tc>
      </w:tr>
      <w:tr w:rsidR="00F90DBE" w:rsidRPr="00DF679C" w14:paraId="1D56D519" w14:textId="77777777" w:rsidTr="003442D8">
        <w:trPr>
          <w:trHeight w:val="400"/>
        </w:trPr>
        <w:tc>
          <w:tcPr>
            <w:tcW w:w="4786" w:type="dxa"/>
            <w:gridSpan w:val="2"/>
            <w:vAlign w:val="center"/>
          </w:tcPr>
          <w:p w14:paraId="28647B21" w14:textId="77777777" w:rsidR="00F90DBE" w:rsidRPr="00DF679C" w:rsidRDefault="00F90DBE" w:rsidP="00F90DBE">
            <w:pPr>
              <w:spacing w:after="0" w:line="240" w:lineRule="auto"/>
              <w:ind w:right="92"/>
              <w:rPr>
                <w:rFonts w:eastAsia="Times New Roman" w:cs="Times New Roman"/>
                <w:b/>
                <w:bCs/>
                <w:iCs/>
              </w:rPr>
            </w:pPr>
            <w:r w:rsidRPr="00DF679C">
              <w:rPr>
                <w:rFonts w:eastAsia="Times New Roman" w:cs="Times New Roman"/>
                <w:b/>
                <w:bCs/>
                <w:iCs/>
              </w:rPr>
              <w:t>Stanje 31. prosinca</w:t>
            </w:r>
          </w:p>
        </w:tc>
        <w:tc>
          <w:tcPr>
            <w:tcW w:w="884" w:type="dxa"/>
            <w:shd w:val="clear" w:color="auto" w:fill="auto"/>
            <w:vAlign w:val="center"/>
          </w:tcPr>
          <w:p w14:paraId="31D45E81" w14:textId="77777777" w:rsidR="00F90DBE" w:rsidRPr="00DF679C" w:rsidRDefault="00F90DBE" w:rsidP="00F90DBE">
            <w:pPr>
              <w:spacing w:after="0" w:line="240" w:lineRule="auto"/>
              <w:ind w:right="92"/>
              <w:jc w:val="center"/>
              <w:rPr>
                <w:rFonts w:eastAsia="Times New Roman" w:cs="Times New Roman"/>
                <w:b/>
                <w:iCs/>
              </w:rPr>
            </w:pPr>
            <w:r w:rsidRPr="00DF679C">
              <w:rPr>
                <w:rFonts w:eastAsia="Times New Roman" w:cs="Times New Roman"/>
                <w:b/>
                <w:iCs/>
              </w:rPr>
              <w:t>/iii/</w:t>
            </w:r>
          </w:p>
        </w:tc>
        <w:tc>
          <w:tcPr>
            <w:tcW w:w="1667" w:type="dxa"/>
            <w:tcBorders>
              <w:bottom w:val="double" w:sz="4" w:space="0" w:color="auto"/>
            </w:tcBorders>
            <w:vAlign w:val="center"/>
          </w:tcPr>
          <w:p w14:paraId="3B3A5993" w14:textId="3AEA4119" w:rsidR="00F90DBE" w:rsidRPr="00DF679C" w:rsidRDefault="00F90DBE" w:rsidP="00F90DBE">
            <w:pPr>
              <w:spacing w:after="0" w:line="240" w:lineRule="auto"/>
              <w:jc w:val="right"/>
              <w:rPr>
                <w:rFonts w:eastAsia="Times New Roman" w:cs="Times New Roman"/>
                <w:b/>
              </w:rPr>
            </w:pPr>
            <w:r w:rsidRPr="00DF679C">
              <w:rPr>
                <w:rFonts w:eastAsia="Times New Roman" w:cs="Times New Roman"/>
                <w:b/>
                <w:iCs/>
              </w:rPr>
              <w:t>46.611.543,48</w:t>
            </w:r>
          </w:p>
        </w:tc>
        <w:tc>
          <w:tcPr>
            <w:tcW w:w="1700" w:type="dxa"/>
            <w:tcBorders>
              <w:bottom w:val="double" w:sz="4" w:space="0" w:color="auto"/>
            </w:tcBorders>
            <w:vAlign w:val="center"/>
          </w:tcPr>
          <w:p w14:paraId="488B26A8" w14:textId="27A4FF36" w:rsidR="00F90DBE" w:rsidRPr="00DF679C" w:rsidRDefault="00F90DBE" w:rsidP="00F90DBE">
            <w:pPr>
              <w:spacing w:after="0" w:line="240" w:lineRule="auto"/>
              <w:jc w:val="right"/>
              <w:rPr>
                <w:rFonts w:eastAsia="Times New Roman" w:cs="Times New Roman"/>
                <w:b/>
              </w:rPr>
            </w:pPr>
            <w:r w:rsidRPr="00DF679C">
              <w:rPr>
                <w:rFonts w:eastAsia="Times New Roman" w:cs="Times New Roman"/>
                <w:b/>
                <w:iCs/>
              </w:rPr>
              <w:t>62.102.828,51</w:t>
            </w:r>
          </w:p>
        </w:tc>
      </w:tr>
    </w:tbl>
    <w:p w14:paraId="2739E04C" w14:textId="77777777" w:rsidR="003442D8" w:rsidRPr="00DF679C" w:rsidRDefault="003442D8" w:rsidP="003442D8">
      <w:pPr>
        <w:spacing w:after="0" w:line="240" w:lineRule="auto"/>
        <w:ind w:right="92"/>
        <w:jc w:val="both"/>
        <w:rPr>
          <w:rFonts w:ascii="Calibri" w:eastAsia="Times New Roman" w:hAnsi="Calibri" w:cs="Times New Roman"/>
          <w:b/>
          <w:bCs/>
          <w:iCs/>
          <w:sz w:val="24"/>
          <w:szCs w:val="24"/>
        </w:rPr>
      </w:pPr>
    </w:p>
    <w:p w14:paraId="725E90A2" w14:textId="77777777" w:rsidR="003442D8" w:rsidRPr="00DF679C" w:rsidRDefault="003442D8" w:rsidP="003442D8">
      <w:pPr>
        <w:spacing w:after="0" w:line="240" w:lineRule="auto"/>
        <w:ind w:right="92"/>
        <w:jc w:val="both"/>
        <w:rPr>
          <w:rFonts w:ascii="Calibri" w:eastAsia="Times New Roman" w:hAnsi="Calibri" w:cs="Times New Roman"/>
          <w:b/>
          <w:bCs/>
          <w:iCs/>
          <w:sz w:val="24"/>
          <w:szCs w:val="24"/>
        </w:rPr>
      </w:pPr>
    </w:p>
    <w:p w14:paraId="30DF8C91" w14:textId="111B0DDF" w:rsidR="003442D8" w:rsidRPr="00DF679C" w:rsidRDefault="003442D8" w:rsidP="003442D8">
      <w:pPr>
        <w:spacing w:after="0" w:line="240" w:lineRule="auto"/>
        <w:ind w:right="92"/>
        <w:jc w:val="both"/>
        <w:rPr>
          <w:rFonts w:ascii="Calibri" w:eastAsia="Times New Roman" w:hAnsi="Calibri" w:cs="Times New Roman"/>
          <w:bCs/>
          <w:iCs/>
          <w:sz w:val="24"/>
          <w:szCs w:val="24"/>
        </w:rPr>
      </w:pPr>
      <w:r w:rsidRPr="00DF679C">
        <w:rPr>
          <w:rFonts w:ascii="Calibri" w:eastAsia="Times New Roman" w:hAnsi="Calibri" w:cs="Times New Roman"/>
          <w:b/>
          <w:bCs/>
          <w:iCs/>
          <w:sz w:val="24"/>
          <w:szCs w:val="24"/>
        </w:rPr>
        <w:t>/i/</w:t>
      </w:r>
      <w:r w:rsidRPr="00DF679C">
        <w:rPr>
          <w:rFonts w:ascii="Calibri" w:eastAsia="Times New Roman" w:hAnsi="Calibri" w:cs="Times New Roman"/>
          <w:b/>
          <w:bCs/>
          <w:iCs/>
          <w:sz w:val="24"/>
          <w:szCs w:val="24"/>
        </w:rPr>
        <w:tab/>
      </w:r>
      <w:r w:rsidR="003810BB" w:rsidRPr="00DF679C">
        <w:rPr>
          <w:rFonts w:ascii="Calibri" w:eastAsia="Times New Roman" w:hAnsi="Calibri" w:cs="Times New Roman"/>
          <w:bCs/>
          <w:iCs/>
          <w:sz w:val="24"/>
          <w:szCs w:val="24"/>
        </w:rPr>
        <w:t>Povećanje  kredita u toku 20</w:t>
      </w:r>
      <w:r w:rsidR="00661D83" w:rsidRPr="00DF679C">
        <w:rPr>
          <w:rFonts w:ascii="Calibri" w:eastAsia="Times New Roman" w:hAnsi="Calibri" w:cs="Times New Roman"/>
          <w:bCs/>
          <w:iCs/>
          <w:sz w:val="24"/>
          <w:szCs w:val="24"/>
        </w:rPr>
        <w:t>20</w:t>
      </w:r>
      <w:r w:rsidRPr="00DF679C">
        <w:rPr>
          <w:rFonts w:ascii="Calibri" w:eastAsia="Times New Roman" w:hAnsi="Calibri" w:cs="Times New Roman"/>
          <w:bCs/>
          <w:iCs/>
          <w:sz w:val="24"/>
          <w:szCs w:val="24"/>
        </w:rPr>
        <w:t>. godine</w:t>
      </w:r>
      <w:r w:rsidR="003810BB" w:rsidRPr="00DF679C">
        <w:rPr>
          <w:rFonts w:ascii="Calibri" w:eastAsia="Times New Roman" w:hAnsi="Calibri" w:cs="Times New Roman"/>
          <w:bCs/>
          <w:iCs/>
          <w:sz w:val="24"/>
          <w:szCs w:val="24"/>
        </w:rPr>
        <w:t xml:space="preserve"> iznosi </w:t>
      </w:r>
      <w:r w:rsidR="00661D83" w:rsidRPr="00DF679C">
        <w:rPr>
          <w:rFonts w:ascii="Calibri" w:eastAsia="Times New Roman" w:hAnsi="Calibri" w:cs="Times New Roman"/>
          <w:bCs/>
          <w:iCs/>
          <w:sz w:val="24"/>
          <w:szCs w:val="24"/>
        </w:rPr>
        <w:t>19.233.676,80</w:t>
      </w:r>
      <w:r w:rsidR="003810BB" w:rsidRPr="00DF679C">
        <w:rPr>
          <w:rFonts w:ascii="Calibri" w:eastAsia="Times New Roman" w:hAnsi="Calibri" w:cs="Times New Roman"/>
          <w:bCs/>
          <w:iCs/>
          <w:sz w:val="24"/>
          <w:szCs w:val="24"/>
        </w:rPr>
        <w:t xml:space="preserve"> kn, a</w:t>
      </w:r>
      <w:r w:rsidRPr="00DF679C">
        <w:rPr>
          <w:rFonts w:ascii="Calibri" w:eastAsia="Times New Roman" w:hAnsi="Calibri" w:cs="Times New Roman"/>
          <w:bCs/>
          <w:iCs/>
          <w:sz w:val="24"/>
          <w:szCs w:val="24"/>
        </w:rPr>
        <w:t xml:space="preserve"> odnosi se na:</w:t>
      </w:r>
    </w:p>
    <w:p w14:paraId="0B2057F1" w14:textId="77777777" w:rsidR="003442D8" w:rsidRPr="00DF679C" w:rsidRDefault="003442D8" w:rsidP="003442D8">
      <w:pPr>
        <w:spacing w:after="0" w:line="240" w:lineRule="auto"/>
        <w:ind w:right="92"/>
        <w:jc w:val="both"/>
        <w:rPr>
          <w:rFonts w:ascii="Calibri" w:eastAsia="Times New Roman" w:hAnsi="Calibri" w:cs="Times New Roman"/>
          <w:bCs/>
          <w:iCs/>
          <w:sz w:val="24"/>
          <w:szCs w:val="24"/>
        </w:rPr>
      </w:pPr>
    </w:p>
    <w:p w14:paraId="72DA740B" w14:textId="54E282C5" w:rsidR="003442D8" w:rsidRPr="00DF679C" w:rsidRDefault="003442D8" w:rsidP="00F8554F">
      <w:pPr>
        <w:pStyle w:val="ListParagraph"/>
        <w:numPr>
          <w:ilvl w:val="1"/>
          <w:numId w:val="8"/>
        </w:numPr>
        <w:spacing w:after="0" w:line="240" w:lineRule="auto"/>
        <w:ind w:left="0" w:right="92" w:firstLine="0"/>
        <w:jc w:val="both"/>
        <w:rPr>
          <w:rFonts w:ascii="Calibri" w:eastAsia="Times New Roman" w:hAnsi="Calibri" w:cs="Times New Roman"/>
          <w:bCs/>
          <w:iCs/>
          <w:sz w:val="24"/>
          <w:szCs w:val="24"/>
        </w:rPr>
      </w:pPr>
      <w:r w:rsidRPr="00DF679C">
        <w:rPr>
          <w:rFonts w:ascii="Calibri" w:eastAsia="Times New Roman" w:hAnsi="Calibri" w:cs="Times New Roman"/>
          <w:bCs/>
          <w:iCs/>
          <w:sz w:val="24"/>
          <w:szCs w:val="24"/>
        </w:rPr>
        <w:t>Ugovor o kreditu s Hrvatskom banko</w:t>
      </w:r>
      <w:r w:rsidR="00EA2357" w:rsidRPr="00DF679C">
        <w:rPr>
          <w:rFonts w:ascii="Calibri" w:eastAsia="Times New Roman" w:hAnsi="Calibri" w:cs="Times New Roman"/>
          <w:bCs/>
          <w:iCs/>
          <w:sz w:val="24"/>
          <w:szCs w:val="24"/>
        </w:rPr>
        <w:t>m za obnovu i razvitak odobren</w:t>
      </w:r>
      <w:r w:rsidRPr="00DF679C">
        <w:rPr>
          <w:rFonts w:ascii="Calibri" w:eastAsia="Times New Roman" w:hAnsi="Calibri" w:cs="Times New Roman"/>
          <w:bCs/>
          <w:iCs/>
          <w:sz w:val="24"/>
          <w:szCs w:val="24"/>
        </w:rPr>
        <w:t xml:space="preserve"> u vrijednosti od 45 milijuna </w:t>
      </w:r>
      <w:r w:rsidR="001F5C5D" w:rsidRPr="00DF679C">
        <w:rPr>
          <w:rFonts w:ascii="Calibri" w:eastAsia="Times New Roman" w:hAnsi="Calibri" w:cs="Times New Roman"/>
          <w:bCs/>
          <w:iCs/>
          <w:sz w:val="24"/>
          <w:szCs w:val="24"/>
        </w:rPr>
        <w:t>kn</w:t>
      </w:r>
      <w:r w:rsidRPr="00DF679C">
        <w:rPr>
          <w:rFonts w:ascii="Calibri" w:eastAsia="Times New Roman" w:hAnsi="Calibri" w:cs="Times New Roman"/>
          <w:bCs/>
          <w:iCs/>
          <w:sz w:val="24"/>
          <w:szCs w:val="24"/>
        </w:rPr>
        <w:t>. Ugovor je sklopljen u kolovozu 2017. godine. Kredit se koristi za financiranje EU projekta</w:t>
      </w:r>
      <w:r w:rsidR="001F456E" w:rsidRPr="00DF679C">
        <w:rPr>
          <w:rFonts w:ascii="Calibri" w:eastAsia="Times New Roman" w:hAnsi="Calibri" w:cs="Times New Roman"/>
          <w:bCs/>
          <w:iCs/>
          <w:sz w:val="24"/>
          <w:szCs w:val="24"/>
        </w:rPr>
        <w:t xml:space="preserve"> </w:t>
      </w:r>
      <w:r w:rsidRPr="00DF679C">
        <w:rPr>
          <w:rFonts w:ascii="Calibri" w:eastAsia="Times New Roman" w:hAnsi="Calibri" w:cs="Times New Roman"/>
          <w:iCs/>
          <w:sz w:val="24"/>
          <w:szCs w:val="24"/>
        </w:rPr>
        <w:t>„Projekt prikupljanja, odvodnje i pročišćavanja otpadnih voda na području otoka Krka“</w:t>
      </w:r>
      <w:r w:rsidRPr="00DF679C">
        <w:rPr>
          <w:rFonts w:ascii="Calibri" w:eastAsia="Times New Roman" w:hAnsi="Calibri" w:cs="Times New Roman"/>
          <w:bCs/>
          <w:iCs/>
          <w:sz w:val="24"/>
          <w:szCs w:val="24"/>
        </w:rPr>
        <w:t xml:space="preserve"> i to kao dio lokalne komponente koji se odnosi na partnere u projektu (JLS)</w:t>
      </w:r>
      <w:r w:rsidR="001F456E" w:rsidRPr="00DF679C">
        <w:rPr>
          <w:rFonts w:ascii="Calibri" w:eastAsia="Times New Roman" w:hAnsi="Calibri" w:cs="Times New Roman"/>
          <w:bCs/>
          <w:iCs/>
          <w:sz w:val="24"/>
          <w:szCs w:val="24"/>
        </w:rPr>
        <w:t xml:space="preserve"> i za pokriće dijela financijske korekcije EU projekta</w:t>
      </w:r>
      <w:r w:rsidRPr="00DF679C">
        <w:rPr>
          <w:rFonts w:ascii="Calibri" w:eastAsia="Times New Roman" w:hAnsi="Calibri" w:cs="Times New Roman"/>
          <w:bCs/>
          <w:iCs/>
          <w:sz w:val="24"/>
          <w:szCs w:val="24"/>
        </w:rPr>
        <w:t>. Kredit će vraćati šest jedinica lokal</w:t>
      </w:r>
      <w:r w:rsidR="003810BB" w:rsidRPr="00DF679C">
        <w:rPr>
          <w:rFonts w:ascii="Calibri" w:eastAsia="Times New Roman" w:hAnsi="Calibri" w:cs="Times New Roman"/>
          <w:bCs/>
          <w:iCs/>
          <w:sz w:val="24"/>
          <w:szCs w:val="24"/>
        </w:rPr>
        <w:t>ne samouprave otoka Krka. U 20</w:t>
      </w:r>
      <w:r w:rsidR="00661D83" w:rsidRPr="00DF679C">
        <w:rPr>
          <w:rFonts w:ascii="Calibri" w:eastAsia="Times New Roman" w:hAnsi="Calibri" w:cs="Times New Roman"/>
          <w:bCs/>
          <w:iCs/>
          <w:sz w:val="24"/>
          <w:szCs w:val="24"/>
        </w:rPr>
        <w:t>20</w:t>
      </w:r>
      <w:r w:rsidRPr="00DF679C">
        <w:rPr>
          <w:rFonts w:ascii="Calibri" w:eastAsia="Times New Roman" w:hAnsi="Calibri" w:cs="Times New Roman"/>
          <w:bCs/>
          <w:iCs/>
          <w:sz w:val="24"/>
          <w:szCs w:val="24"/>
        </w:rPr>
        <w:t xml:space="preserve">. godini Društvo je iskoristilo </w:t>
      </w:r>
      <w:r w:rsidR="00661D83" w:rsidRPr="00DF679C">
        <w:rPr>
          <w:rFonts w:ascii="Calibri" w:eastAsia="Times New Roman" w:hAnsi="Calibri" w:cs="Times New Roman"/>
          <w:bCs/>
          <w:iCs/>
          <w:sz w:val="24"/>
          <w:szCs w:val="24"/>
        </w:rPr>
        <w:t>5.815.405,55</w:t>
      </w:r>
      <w:r w:rsidRPr="00DF679C">
        <w:rPr>
          <w:rFonts w:ascii="Calibri" w:eastAsia="Times New Roman" w:hAnsi="Calibri" w:cs="Times New Roman"/>
          <w:bCs/>
          <w:iCs/>
          <w:sz w:val="24"/>
          <w:szCs w:val="24"/>
        </w:rPr>
        <w:t xml:space="preserve"> kn kreditnih sredstava.</w:t>
      </w:r>
    </w:p>
    <w:p w14:paraId="41A2AC61" w14:textId="77777777" w:rsidR="003810BB" w:rsidRPr="00DF679C" w:rsidRDefault="003810BB" w:rsidP="003810BB">
      <w:pPr>
        <w:pStyle w:val="ListParagraph"/>
        <w:spacing w:after="0" w:line="240" w:lineRule="auto"/>
        <w:ind w:left="0" w:right="92"/>
        <w:jc w:val="both"/>
        <w:rPr>
          <w:rFonts w:ascii="Calibri" w:eastAsia="Times New Roman" w:hAnsi="Calibri" w:cs="Times New Roman"/>
          <w:bCs/>
          <w:iCs/>
          <w:sz w:val="24"/>
          <w:szCs w:val="24"/>
        </w:rPr>
      </w:pPr>
    </w:p>
    <w:p w14:paraId="7784354D" w14:textId="534204FB" w:rsidR="003810BB" w:rsidRPr="00DF679C" w:rsidRDefault="003810BB" w:rsidP="00F8554F">
      <w:pPr>
        <w:pStyle w:val="ListParagraph"/>
        <w:numPr>
          <w:ilvl w:val="1"/>
          <w:numId w:val="8"/>
        </w:numPr>
        <w:spacing w:after="0" w:line="240" w:lineRule="auto"/>
        <w:ind w:left="0" w:right="92" w:firstLine="0"/>
        <w:jc w:val="both"/>
        <w:rPr>
          <w:rFonts w:ascii="Calibri" w:eastAsia="Times New Roman" w:hAnsi="Calibri" w:cs="Times New Roman"/>
          <w:bCs/>
          <w:iCs/>
          <w:sz w:val="24"/>
          <w:szCs w:val="24"/>
        </w:rPr>
      </w:pPr>
      <w:r w:rsidRPr="00DF679C">
        <w:rPr>
          <w:rFonts w:ascii="Calibri" w:eastAsia="Times New Roman" w:hAnsi="Calibri" w:cs="Times New Roman"/>
          <w:bCs/>
          <w:iCs/>
          <w:sz w:val="24"/>
          <w:szCs w:val="24"/>
        </w:rPr>
        <w:t>Ugovor o kreditu</w:t>
      </w:r>
      <w:r w:rsidR="006019FE" w:rsidRPr="00DF679C">
        <w:rPr>
          <w:rFonts w:ascii="Calibri" w:eastAsia="Times New Roman" w:hAnsi="Calibri" w:cs="Times New Roman"/>
          <w:bCs/>
          <w:iCs/>
          <w:sz w:val="24"/>
          <w:szCs w:val="24"/>
        </w:rPr>
        <w:t xml:space="preserve"> sklopljen 15. srpnja 2019.</w:t>
      </w:r>
      <w:r w:rsidR="001F456E" w:rsidRPr="00DF679C">
        <w:rPr>
          <w:rFonts w:ascii="Calibri" w:eastAsia="Times New Roman" w:hAnsi="Calibri" w:cs="Times New Roman"/>
          <w:bCs/>
          <w:iCs/>
          <w:sz w:val="24"/>
          <w:szCs w:val="24"/>
        </w:rPr>
        <w:t xml:space="preserve"> godine</w:t>
      </w:r>
      <w:r w:rsidR="006019FE" w:rsidRPr="00DF679C">
        <w:rPr>
          <w:rFonts w:ascii="Calibri" w:eastAsia="Times New Roman" w:hAnsi="Calibri" w:cs="Times New Roman"/>
          <w:bCs/>
          <w:iCs/>
          <w:sz w:val="24"/>
          <w:szCs w:val="24"/>
        </w:rPr>
        <w:t xml:space="preserve"> </w:t>
      </w:r>
      <w:r w:rsidRPr="00DF679C">
        <w:rPr>
          <w:rFonts w:ascii="Calibri" w:eastAsia="Times New Roman" w:hAnsi="Calibri" w:cs="Times New Roman"/>
          <w:bCs/>
          <w:iCs/>
          <w:sz w:val="24"/>
          <w:szCs w:val="24"/>
        </w:rPr>
        <w:t>s Privrednom bankom Zagreb</w:t>
      </w:r>
      <w:r w:rsidR="006019FE" w:rsidRPr="00DF679C">
        <w:rPr>
          <w:rFonts w:ascii="Calibri" w:eastAsia="Times New Roman" w:hAnsi="Calibri" w:cs="Times New Roman"/>
          <w:bCs/>
          <w:iCs/>
          <w:sz w:val="24"/>
          <w:szCs w:val="24"/>
        </w:rPr>
        <w:t xml:space="preserve"> na iznos od 18.000.000</w:t>
      </w:r>
      <w:r w:rsidR="001F456E" w:rsidRPr="00DF679C">
        <w:rPr>
          <w:rFonts w:ascii="Calibri" w:eastAsia="Times New Roman" w:hAnsi="Calibri" w:cs="Times New Roman"/>
          <w:bCs/>
          <w:iCs/>
          <w:sz w:val="24"/>
          <w:szCs w:val="24"/>
        </w:rPr>
        <w:t>,00</w:t>
      </w:r>
      <w:r w:rsidR="006019FE" w:rsidRPr="00DF679C">
        <w:rPr>
          <w:rFonts w:ascii="Calibri" w:eastAsia="Times New Roman" w:hAnsi="Calibri" w:cs="Times New Roman"/>
          <w:bCs/>
          <w:iCs/>
          <w:sz w:val="24"/>
          <w:szCs w:val="24"/>
        </w:rPr>
        <w:t xml:space="preserve"> kn za pokriće financijske korekcije u sklopu EU projekta</w:t>
      </w:r>
      <w:r w:rsidR="00EA2357" w:rsidRPr="00DF679C">
        <w:rPr>
          <w:rFonts w:ascii="Calibri" w:eastAsia="Times New Roman" w:hAnsi="Calibri" w:cs="Times New Roman"/>
          <w:bCs/>
          <w:iCs/>
          <w:sz w:val="24"/>
          <w:szCs w:val="24"/>
        </w:rPr>
        <w:t xml:space="preserve"> (Bilješka</w:t>
      </w:r>
      <w:r w:rsidR="006B1B34" w:rsidRPr="00DF679C">
        <w:rPr>
          <w:rFonts w:ascii="Calibri" w:eastAsia="Times New Roman" w:hAnsi="Calibri" w:cs="Times New Roman"/>
          <w:bCs/>
          <w:iCs/>
          <w:sz w:val="24"/>
          <w:szCs w:val="24"/>
        </w:rPr>
        <w:t xml:space="preserve"> 7 /ii/ a))</w:t>
      </w:r>
      <w:r w:rsidR="006019FE" w:rsidRPr="00DF679C">
        <w:rPr>
          <w:rFonts w:ascii="Calibri" w:eastAsia="Times New Roman" w:hAnsi="Calibri" w:cs="Times New Roman"/>
          <w:bCs/>
          <w:iCs/>
          <w:sz w:val="24"/>
          <w:szCs w:val="24"/>
        </w:rPr>
        <w:t>. Krajnji rok korištenja kredita je do 31.12.2023.g. Društvo je u 20</w:t>
      </w:r>
      <w:r w:rsidR="00661D83" w:rsidRPr="00DF679C">
        <w:rPr>
          <w:rFonts w:ascii="Calibri" w:eastAsia="Times New Roman" w:hAnsi="Calibri" w:cs="Times New Roman"/>
          <w:bCs/>
          <w:iCs/>
          <w:sz w:val="24"/>
          <w:szCs w:val="24"/>
        </w:rPr>
        <w:t>20</w:t>
      </w:r>
      <w:r w:rsidR="006019FE" w:rsidRPr="00DF679C">
        <w:rPr>
          <w:rFonts w:ascii="Calibri" w:eastAsia="Times New Roman" w:hAnsi="Calibri" w:cs="Times New Roman"/>
          <w:bCs/>
          <w:iCs/>
          <w:sz w:val="24"/>
          <w:szCs w:val="24"/>
        </w:rPr>
        <w:t xml:space="preserve">. iskoristilo </w:t>
      </w:r>
      <w:r w:rsidR="00661D83" w:rsidRPr="00DF679C">
        <w:rPr>
          <w:rFonts w:ascii="Calibri" w:eastAsia="Times New Roman" w:hAnsi="Calibri" w:cs="Times New Roman"/>
          <w:bCs/>
          <w:iCs/>
          <w:sz w:val="24"/>
          <w:szCs w:val="24"/>
        </w:rPr>
        <w:t>1.314.971,48</w:t>
      </w:r>
      <w:r w:rsidR="006019FE" w:rsidRPr="00DF679C">
        <w:rPr>
          <w:rFonts w:ascii="Calibri" w:eastAsia="Times New Roman" w:hAnsi="Calibri" w:cs="Times New Roman"/>
          <w:bCs/>
          <w:iCs/>
          <w:sz w:val="24"/>
          <w:szCs w:val="24"/>
        </w:rPr>
        <w:t xml:space="preserve"> kn</w:t>
      </w:r>
      <w:r w:rsidR="00661D83" w:rsidRPr="00DF679C">
        <w:rPr>
          <w:rFonts w:ascii="Calibri" w:eastAsia="Times New Roman" w:hAnsi="Calibri" w:cs="Times New Roman"/>
          <w:bCs/>
          <w:iCs/>
          <w:sz w:val="24"/>
          <w:szCs w:val="24"/>
        </w:rPr>
        <w:t xml:space="preserve">. </w:t>
      </w:r>
      <w:r w:rsidR="001F456E" w:rsidRPr="00DF679C">
        <w:rPr>
          <w:rFonts w:ascii="Calibri" w:eastAsia="Times New Roman" w:hAnsi="Calibri" w:cs="Times New Roman"/>
          <w:bCs/>
          <w:iCs/>
          <w:sz w:val="24"/>
          <w:szCs w:val="24"/>
        </w:rPr>
        <w:t>Kredit će se vraćati</w:t>
      </w:r>
      <w:r w:rsidR="008461AF" w:rsidRPr="00DF679C">
        <w:rPr>
          <w:rFonts w:ascii="Calibri" w:eastAsia="Times New Roman" w:hAnsi="Calibri" w:cs="Times New Roman"/>
          <w:bCs/>
          <w:iCs/>
          <w:sz w:val="24"/>
          <w:szCs w:val="24"/>
        </w:rPr>
        <w:t xml:space="preserve"> iz naknade za razvoj i iz vlastitih izvora</w:t>
      </w:r>
      <w:r w:rsidR="001F456E" w:rsidRPr="00DF679C">
        <w:rPr>
          <w:rFonts w:ascii="Calibri" w:eastAsia="Times New Roman" w:hAnsi="Calibri" w:cs="Times New Roman"/>
          <w:bCs/>
          <w:iCs/>
          <w:sz w:val="24"/>
          <w:szCs w:val="24"/>
        </w:rPr>
        <w:t xml:space="preserve"> Društva</w:t>
      </w:r>
      <w:r w:rsidR="008461AF" w:rsidRPr="00DF679C">
        <w:rPr>
          <w:rFonts w:ascii="Calibri" w:eastAsia="Times New Roman" w:hAnsi="Calibri" w:cs="Times New Roman"/>
          <w:bCs/>
          <w:iCs/>
          <w:sz w:val="24"/>
          <w:szCs w:val="24"/>
        </w:rPr>
        <w:t>.</w:t>
      </w:r>
      <w:r w:rsidR="006019FE" w:rsidRPr="00DF679C">
        <w:rPr>
          <w:rFonts w:ascii="Calibri" w:eastAsia="Times New Roman" w:hAnsi="Calibri" w:cs="Times New Roman"/>
          <w:bCs/>
          <w:iCs/>
          <w:sz w:val="24"/>
          <w:szCs w:val="24"/>
        </w:rPr>
        <w:t xml:space="preserve">  </w:t>
      </w:r>
    </w:p>
    <w:p w14:paraId="25FDBFCA" w14:textId="77777777" w:rsidR="002E747F" w:rsidRPr="00DF679C" w:rsidRDefault="002E747F" w:rsidP="006019FE">
      <w:pPr>
        <w:pStyle w:val="ListParagraph"/>
        <w:spacing w:after="0" w:line="240" w:lineRule="auto"/>
        <w:ind w:left="0" w:right="92"/>
        <w:jc w:val="both"/>
        <w:rPr>
          <w:rFonts w:ascii="Calibri" w:eastAsia="Times New Roman" w:hAnsi="Calibri" w:cs="Times New Roman"/>
          <w:bCs/>
          <w:iCs/>
          <w:sz w:val="24"/>
          <w:szCs w:val="24"/>
        </w:rPr>
      </w:pPr>
    </w:p>
    <w:p w14:paraId="12B362C1" w14:textId="77777777" w:rsidR="002E747F" w:rsidRPr="00DF679C" w:rsidRDefault="002E747F" w:rsidP="00F8554F">
      <w:pPr>
        <w:pStyle w:val="ListParagraph"/>
        <w:numPr>
          <w:ilvl w:val="1"/>
          <w:numId w:val="8"/>
        </w:numPr>
        <w:spacing w:after="0" w:line="240" w:lineRule="auto"/>
        <w:ind w:left="0" w:right="92" w:firstLine="0"/>
        <w:jc w:val="both"/>
        <w:rPr>
          <w:rFonts w:ascii="Calibri" w:eastAsia="Times New Roman" w:hAnsi="Calibri" w:cs="Times New Roman"/>
          <w:bCs/>
          <w:iCs/>
          <w:sz w:val="24"/>
          <w:szCs w:val="24"/>
        </w:rPr>
      </w:pPr>
      <w:r w:rsidRPr="00DF679C">
        <w:rPr>
          <w:rFonts w:ascii="Calibri" w:eastAsia="Times New Roman" w:hAnsi="Calibri" w:cs="Times New Roman"/>
          <w:bCs/>
          <w:iCs/>
          <w:sz w:val="24"/>
          <w:szCs w:val="24"/>
        </w:rPr>
        <w:t xml:space="preserve">Ugovor o kreditu sklopljen 15. srpnja 2019. </w:t>
      </w:r>
      <w:r w:rsidR="001F456E" w:rsidRPr="00DF679C">
        <w:rPr>
          <w:rFonts w:ascii="Calibri" w:eastAsia="Times New Roman" w:hAnsi="Calibri" w:cs="Times New Roman"/>
          <w:bCs/>
          <w:iCs/>
          <w:sz w:val="24"/>
          <w:szCs w:val="24"/>
        </w:rPr>
        <w:t xml:space="preserve">godine </w:t>
      </w:r>
      <w:r w:rsidRPr="00DF679C">
        <w:rPr>
          <w:rFonts w:ascii="Calibri" w:eastAsia="Times New Roman" w:hAnsi="Calibri" w:cs="Times New Roman"/>
          <w:bCs/>
          <w:iCs/>
          <w:sz w:val="24"/>
          <w:szCs w:val="24"/>
        </w:rPr>
        <w:t xml:space="preserve">s Privrednom bankom Zagreb na iznos od </w:t>
      </w:r>
      <w:r w:rsidR="001F456E" w:rsidRPr="00DF679C">
        <w:rPr>
          <w:rFonts w:ascii="Calibri" w:eastAsia="Times New Roman" w:hAnsi="Calibri" w:cs="Times New Roman"/>
          <w:bCs/>
          <w:iCs/>
          <w:sz w:val="24"/>
          <w:szCs w:val="24"/>
        </w:rPr>
        <w:t>37</w:t>
      </w:r>
      <w:r w:rsidRPr="00DF679C">
        <w:rPr>
          <w:rFonts w:ascii="Calibri" w:eastAsia="Times New Roman" w:hAnsi="Calibri" w:cs="Times New Roman"/>
          <w:bCs/>
          <w:iCs/>
          <w:sz w:val="24"/>
          <w:szCs w:val="24"/>
        </w:rPr>
        <w:t>.000.000</w:t>
      </w:r>
      <w:r w:rsidR="001F456E" w:rsidRPr="00DF679C">
        <w:rPr>
          <w:rFonts w:ascii="Calibri" w:eastAsia="Times New Roman" w:hAnsi="Calibri" w:cs="Times New Roman"/>
          <w:bCs/>
          <w:iCs/>
          <w:sz w:val="24"/>
          <w:szCs w:val="24"/>
        </w:rPr>
        <w:t>,00</w:t>
      </w:r>
      <w:r w:rsidRPr="00DF679C">
        <w:rPr>
          <w:rFonts w:ascii="Calibri" w:eastAsia="Times New Roman" w:hAnsi="Calibri" w:cs="Times New Roman"/>
          <w:bCs/>
          <w:iCs/>
          <w:sz w:val="24"/>
          <w:szCs w:val="24"/>
        </w:rPr>
        <w:t xml:space="preserve"> kn za pokriće financijske korekcije u sklopu EU projekta</w:t>
      </w:r>
      <w:r w:rsidR="00EA2357" w:rsidRPr="00DF679C">
        <w:rPr>
          <w:rFonts w:ascii="Calibri" w:eastAsia="Times New Roman" w:hAnsi="Calibri" w:cs="Times New Roman"/>
          <w:bCs/>
          <w:iCs/>
          <w:sz w:val="24"/>
          <w:szCs w:val="24"/>
        </w:rPr>
        <w:t xml:space="preserve"> </w:t>
      </w:r>
      <w:r w:rsidR="006B1B34" w:rsidRPr="00DF679C">
        <w:rPr>
          <w:rFonts w:ascii="Calibri" w:eastAsia="Times New Roman" w:hAnsi="Calibri" w:cs="Times New Roman"/>
          <w:bCs/>
          <w:iCs/>
          <w:sz w:val="24"/>
          <w:szCs w:val="24"/>
        </w:rPr>
        <w:t>(Bilješka 7 /ii/ a))</w:t>
      </w:r>
      <w:r w:rsidRPr="00DF679C">
        <w:rPr>
          <w:rFonts w:ascii="Calibri" w:eastAsia="Times New Roman" w:hAnsi="Calibri" w:cs="Times New Roman"/>
          <w:bCs/>
          <w:iCs/>
          <w:sz w:val="24"/>
          <w:szCs w:val="24"/>
        </w:rPr>
        <w:t xml:space="preserve">. Krajnji rok korištenja kredita je do 31.12.2023.g. </w:t>
      </w:r>
    </w:p>
    <w:p w14:paraId="06E04CB3" w14:textId="6802D137" w:rsidR="008461AF" w:rsidRPr="00DF679C" w:rsidRDefault="002E747F" w:rsidP="008461AF">
      <w:pPr>
        <w:pStyle w:val="ListParagraph"/>
        <w:spacing w:after="0" w:line="240" w:lineRule="auto"/>
        <w:ind w:left="0" w:right="92"/>
        <w:jc w:val="both"/>
        <w:rPr>
          <w:rFonts w:ascii="Calibri" w:eastAsia="Times New Roman" w:hAnsi="Calibri" w:cs="Times New Roman"/>
          <w:bCs/>
          <w:iCs/>
          <w:sz w:val="24"/>
          <w:szCs w:val="24"/>
        </w:rPr>
      </w:pPr>
      <w:r w:rsidRPr="00DF679C">
        <w:rPr>
          <w:rFonts w:ascii="Calibri" w:eastAsia="Times New Roman" w:hAnsi="Calibri" w:cs="Times New Roman"/>
          <w:bCs/>
          <w:iCs/>
          <w:sz w:val="24"/>
          <w:szCs w:val="24"/>
        </w:rPr>
        <w:lastRenderedPageBreak/>
        <w:t>Društvo je u 20</w:t>
      </w:r>
      <w:r w:rsidR="00661D83" w:rsidRPr="00DF679C">
        <w:rPr>
          <w:rFonts w:ascii="Calibri" w:eastAsia="Times New Roman" w:hAnsi="Calibri" w:cs="Times New Roman"/>
          <w:bCs/>
          <w:iCs/>
          <w:sz w:val="24"/>
          <w:szCs w:val="24"/>
        </w:rPr>
        <w:t>20</w:t>
      </w:r>
      <w:r w:rsidRPr="00DF679C">
        <w:rPr>
          <w:rFonts w:ascii="Calibri" w:eastAsia="Times New Roman" w:hAnsi="Calibri" w:cs="Times New Roman"/>
          <w:bCs/>
          <w:iCs/>
          <w:sz w:val="24"/>
          <w:szCs w:val="24"/>
        </w:rPr>
        <w:t>.</w:t>
      </w:r>
      <w:r w:rsidR="001F456E" w:rsidRPr="00DF679C">
        <w:rPr>
          <w:rFonts w:ascii="Calibri" w:eastAsia="Times New Roman" w:hAnsi="Calibri" w:cs="Times New Roman"/>
          <w:bCs/>
          <w:iCs/>
          <w:sz w:val="24"/>
          <w:szCs w:val="24"/>
        </w:rPr>
        <w:t xml:space="preserve"> </w:t>
      </w:r>
      <w:r w:rsidRPr="00DF679C">
        <w:rPr>
          <w:rFonts w:ascii="Calibri" w:eastAsia="Times New Roman" w:hAnsi="Calibri" w:cs="Times New Roman"/>
          <w:bCs/>
          <w:iCs/>
          <w:sz w:val="24"/>
          <w:szCs w:val="24"/>
        </w:rPr>
        <w:t>iskoristilo</w:t>
      </w:r>
      <w:r w:rsidR="00EA2357" w:rsidRPr="00DF679C">
        <w:rPr>
          <w:rFonts w:ascii="Calibri" w:eastAsia="Times New Roman" w:hAnsi="Calibri" w:cs="Times New Roman"/>
          <w:bCs/>
          <w:iCs/>
          <w:sz w:val="24"/>
          <w:szCs w:val="24"/>
        </w:rPr>
        <w:t xml:space="preserve"> </w:t>
      </w:r>
      <w:r w:rsidR="00661D83" w:rsidRPr="00DF679C">
        <w:rPr>
          <w:rFonts w:ascii="Calibri" w:eastAsia="Times New Roman" w:hAnsi="Calibri" w:cs="Times New Roman"/>
          <w:bCs/>
          <w:iCs/>
          <w:sz w:val="24"/>
          <w:szCs w:val="24"/>
        </w:rPr>
        <w:t>12.103.299,77</w:t>
      </w:r>
      <w:r w:rsidR="00EA2357" w:rsidRPr="00DF679C">
        <w:rPr>
          <w:rFonts w:ascii="Calibri" w:eastAsia="Times New Roman" w:hAnsi="Calibri" w:cs="Times New Roman"/>
          <w:bCs/>
          <w:iCs/>
          <w:sz w:val="24"/>
          <w:szCs w:val="24"/>
        </w:rPr>
        <w:t xml:space="preserve"> kn. </w:t>
      </w:r>
      <w:r w:rsidR="001F456E" w:rsidRPr="00DF679C">
        <w:rPr>
          <w:rFonts w:ascii="Calibri" w:eastAsia="Times New Roman" w:hAnsi="Calibri" w:cs="Times New Roman"/>
          <w:bCs/>
          <w:iCs/>
          <w:sz w:val="24"/>
          <w:szCs w:val="24"/>
        </w:rPr>
        <w:t xml:space="preserve">Kredit će se vraćati iz naknade za razvoj i iz vlastitih izvora Društva. </w:t>
      </w:r>
      <w:r w:rsidR="008461AF" w:rsidRPr="00DF679C">
        <w:rPr>
          <w:rFonts w:ascii="Calibri" w:eastAsia="Times New Roman" w:hAnsi="Calibri" w:cs="Times New Roman"/>
          <w:bCs/>
          <w:iCs/>
          <w:sz w:val="24"/>
          <w:szCs w:val="24"/>
        </w:rPr>
        <w:t xml:space="preserve">  </w:t>
      </w:r>
    </w:p>
    <w:p w14:paraId="65EB268C" w14:textId="77777777" w:rsidR="003810BB" w:rsidRPr="00DF679C" w:rsidRDefault="003810BB" w:rsidP="003442D8">
      <w:pPr>
        <w:spacing w:after="0" w:line="240" w:lineRule="auto"/>
        <w:ind w:right="92"/>
        <w:jc w:val="both"/>
        <w:rPr>
          <w:rFonts w:ascii="Calibri" w:eastAsia="Times New Roman" w:hAnsi="Calibri" w:cs="Times New Roman"/>
          <w:bCs/>
          <w:iCs/>
          <w:sz w:val="24"/>
          <w:szCs w:val="24"/>
        </w:rPr>
      </w:pPr>
    </w:p>
    <w:p w14:paraId="0932B98E" w14:textId="59FFFF47"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b/>
          <w:bCs/>
          <w:iCs/>
          <w:sz w:val="24"/>
          <w:szCs w:val="24"/>
        </w:rPr>
        <w:t>/ii/</w:t>
      </w:r>
      <w:r w:rsidRPr="00DF679C">
        <w:rPr>
          <w:rFonts w:ascii="Calibri" w:eastAsia="Times New Roman" w:hAnsi="Calibri" w:cs="Times New Roman"/>
          <w:iCs/>
          <w:sz w:val="24"/>
          <w:szCs w:val="24"/>
        </w:rPr>
        <w:t>        Od tekućeg dijela dugoročnih obveza k</w:t>
      </w:r>
      <w:r w:rsidR="00EA2357" w:rsidRPr="00DF679C">
        <w:rPr>
          <w:rFonts w:ascii="Calibri" w:eastAsia="Times New Roman" w:hAnsi="Calibri" w:cs="Times New Roman"/>
          <w:iCs/>
          <w:sz w:val="24"/>
          <w:szCs w:val="24"/>
        </w:rPr>
        <w:t>oji dospijeva u 20</w:t>
      </w:r>
      <w:r w:rsidR="00661D83"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xml:space="preserve">. godini u iznosu od </w:t>
      </w:r>
      <w:r w:rsidR="00EA2357" w:rsidRPr="00DF679C">
        <w:rPr>
          <w:rFonts w:eastAsia="Times New Roman" w:cs="Times New Roman"/>
          <w:sz w:val="24"/>
          <w:szCs w:val="24"/>
        </w:rPr>
        <w:t>4.</w:t>
      </w:r>
      <w:r w:rsidR="00661D83" w:rsidRPr="00DF679C">
        <w:rPr>
          <w:rFonts w:eastAsia="Times New Roman" w:cs="Times New Roman"/>
          <w:sz w:val="24"/>
          <w:szCs w:val="24"/>
        </w:rPr>
        <w:t>826.205,34</w:t>
      </w:r>
      <w:r w:rsidRPr="00DF679C">
        <w:rPr>
          <w:rFonts w:ascii="Calibri" w:eastAsia="Times New Roman" w:hAnsi="Calibri" w:cs="Times New Roman"/>
          <w:iCs/>
          <w:sz w:val="24"/>
          <w:szCs w:val="24"/>
        </w:rPr>
        <w:t xml:space="preserve"> kn,  Društvo bi trebalo</w:t>
      </w:r>
      <w:r w:rsidR="00EA2357" w:rsidRPr="00DF679C">
        <w:rPr>
          <w:rFonts w:ascii="Calibri" w:eastAsia="Times New Roman" w:hAnsi="Calibri" w:cs="Times New Roman"/>
          <w:iCs/>
          <w:sz w:val="24"/>
          <w:szCs w:val="24"/>
        </w:rPr>
        <w:t xml:space="preserve"> osigurati vlastita sredstava u iznosu od </w:t>
      </w:r>
      <w:r w:rsidR="00661D83" w:rsidRPr="00DF679C">
        <w:rPr>
          <w:rFonts w:ascii="Calibri" w:eastAsia="Times New Roman" w:hAnsi="Calibri" w:cs="Times New Roman"/>
          <w:iCs/>
          <w:sz w:val="24"/>
          <w:szCs w:val="24"/>
        </w:rPr>
        <w:t>2.120.886,94</w:t>
      </w:r>
      <w:r w:rsidR="00EA2357" w:rsidRPr="00DF679C">
        <w:rPr>
          <w:rFonts w:ascii="Calibri" w:eastAsia="Times New Roman" w:hAnsi="Calibri" w:cs="Times New Roman"/>
          <w:iCs/>
          <w:sz w:val="24"/>
          <w:szCs w:val="24"/>
        </w:rPr>
        <w:t xml:space="preserve"> kn,</w:t>
      </w:r>
      <w:r w:rsidRPr="00DF679C">
        <w:rPr>
          <w:rFonts w:ascii="Calibri" w:eastAsia="Times New Roman" w:hAnsi="Calibri" w:cs="Times New Roman"/>
          <w:iCs/>
          <w:sz w:val="24"/>
          <w:szCs w:val="24"/>
        </w:rPr>
        <w:t xml:space="preserve"> </w:t>
      </w:r>
      <w:r w:rsidR="005533EE">
        <w:rPr>
          <w:rFonts w:ascii="Calibri" w:eastAsia="Times New Roman" w:hAnsi="Calibri" w:cs="Times New Roman"/>
          <w:iCs/>
          <w:sz w:val="24"/>
          <w:szCs w:val="24"/>
        </w:rPr>
        <w:t xml:space="preserve">a </w:t>
      </w:r>
      <w:r w:rsidRPr="00DF679C">
        <w:rPr>
          <w:rFonts w:ascii="Calibri" w:eastAsia="Times New Roman" w:hAnsi="Calibri" w:cs="Times New Roman"/>
          <w:iCs/>
          <w:sz w:val="24"/>
          <w:szCs w:val="24"/>
        </w:rPr>
        <w:t xml:space="preserve">iznos od 2.705.318,40 kn </w:t>
      </w:r>
      <w:r w:rsidR="005533EE">
        <w:rPr>
          <w:rFonts w:ascii="Calibri" w:eastAsia="Times New Roman" w:hAnsi="Calibri" w:cs="Times New Roman"/>
          <w:iCs/>
          <w:sz w:val="24"/>
          <w:szCs w:val="24"/>
        </w:rPr>
        <w:t xml:space="preserve">iz </w:t>
      </w:r>
      <w:r w:rsidRPr="00DF679C">
        <w:rPr>
          <w:rFonts w:ascii="Calibri" w:eastAsia="Times New Roman" w:hAnsi="Calibri" w:cs="Times New Roman"/>
          <w:iCs/>
          <w:sz w:val="24"/>
          <w:szCs w:val="24"/>
        </w:rPr>
        <w:t>sredstava naknade za razvoj za obveze po P</w:t>
      </w:r>
      <w:r w:rsidR="00EA2357" w:rsidRPr="00DF679C">
        <w:rPr>
          <w:rFonts w:ascii="Calibri" w:eastAsia="Times New Roman" w:hAnsi="Calibri" w:cs="Times New Roman"/>
          <w:iCs/>
          <w:sz w:val="24"/>
          <w:szCs w:val="24"/>
        </w:rPr>
        <w:t>odzajmu kredita Projekta Jadran</w:t>
      </w:r>
      <w:r w:rsidR="008020D6" w:rsidRPr="00DF679C">
        <w:rPr>
          <w:rFonts w:ascii="Calibri" w:eastAsia="Times New Roman" w:hAnsi="Calibri" w:cs="Times New Roman"/>
          <w:iCs/>
          <w:sz w:val="24"/>
          <w:szCs w:val="24"/>
        </w:rPr>
        <w:t>.</w:t>
      </w:r>
    </w:p>
    <w:p w14:paraId="7A053740" w14:textId="3BAA9C2E" w:rsidR="003442D8" w:rsidRPr="004641A9"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Da je Društvo primijenilo srednji te</w:t>
      </w:r>
      <w:r w:rsidR="00EA2357" w:rsidRPr="00DF679C">
        <w:rPr>
          <w:rFonts w:ascii="Calibri" w:eastAsia="Times New Roman" w:hAnsi="Calibri" w:cs="Times New Roman"/>
          <w:iCs/>
          <w:sz w:val="24"/>
          <w:szCs w:val="24"/>
        </w:rPr>
        <w:t>čaj HNB na dan 31. prosinca 20</w:t>
      </w:r>
      <w:r w:rsidR="00661D83"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godine na podzajmu iz Projekta Jadran, obveze koj</w:t>
      </w:r>
      <w:r w:rsidR="00EA2357" w:rsidRPr="00DF679C">
        <w:rPr>
          <w:rFonts w:ascii="Calibri" w:eastAsia="Times New Roman" w:hAnsi="Calibri" w:cs="Times New Roman"/>
          <w:iCs/>
          <w:sz w:val="24"/>
          <w:szCs w:val="24"/>
        </w:rPr>
        <w:t>e dospijevaju za plaćanje u 202</w:t>
      </w:r>
      <w:r w:rsidR="00661D83" w:rsidRPr="00DF679C">
        <w:rPr>
          <w:rFonts w:ascii="Calibri" w:eastAsia="Times New Roman" w:hAnsi="Calibri" w:cs="Times New Roman"/>
          <w:iCs/>
          <w:sz w:val="24"/>
          <w:szCs w:val="24"/>
        </w:rPr>
        <w:t>1</w:t>
      </w:r>
      <w:r w:rsidRPr="00DF679C">
        <w:rPr>
          <w:rFonts w:ascii="Calibri" w:eastAsia="Times New Roman" w:hAnsi="Calibri" w:cs="Times New Roman"/>
          <w:iCs/>
          <w:sz w:val="24"/>
          <w:szCs w:val="24"/>
        </w:rPr>
        <w:t xml:space="preserve">. godini iznosile bi </w:t>
      </w:r>
      <w:r w:rsidR="00EA2357" w:rsidRPr="00DF679C">
        <w:rPr>
          <w:rFonts w:ascii="Calibri" w:eastAsia="Times New Roman" w:hAnsi="Calibri" w:cs="Times New Roman"/>
          <w:iCs/>
          <w:sz w:val="24"/>
          <w:szCs w:val="24"/>
        </w:rPr>
        <w:t>2.</w:t>
      </w:r>
      <w:r w:rsidR="008020D6" w:rsidRPr="00DF679C">
        <w:rPr>
          <w:rFonts w:ascii="Calibri" w:eastAsia="Times New Roman" w:hAnsi="Calibri" w:cs="Times New Roman"/>
          <w:iCs/>
          <w:sz w:val="24"/>
          <w:szCs w:val="24"/>
        </w:rPr>
        <w:t>681.328,64</w:t>
      </w:r>
      <w:r w:rsidRPr="00DF679C">
        <w:rPr>
          <w:rFonts w:ascii="Calibri" w:eastAsia="Times New Roman" w:hAnsi="Calibri" w:cs="Times New Roman"/>
          <w:iCs/>
          <w:sz w:val="24"/>
          <w:szCs w:val="24"/>
        </w:rPr>
        <w:t xml:space="preserve"> </w:t>
      </w:r>
      <w:r w:rsidRPr="004641A9">
        <w:rPr>
          <w:rFonts w:ascii="Calibri" w:eastAsia="Times New Roman" w:hAnsi="Calibri" w:cs="Times New Roman"/>
          <w:iCs/>
          <w:sz w:val="24"/>
          <w:szCs w:val="24"/>
        </w:rPr>
        <w:t xml:space="preserve">kn (bile bi manje za </w:t>
      </w:r>
      <w:r w:rsidR="00661D83" w:rsidRPr="004641A9">
        <w:rPr>
          <w:rFonts w:ascii="Calibri" w:eastAsia="Times New Roman" w:hAnsi="Calibri" w:cs="Times New Roman"/>
          <w:iCs/>
          <w:sz w:val="24"/>
          <w:szCs w:val="24"/>
        </w:rPr>
        <w:t>23.989,76</w:t>
      </w:r>
      <w:r w:rsidRPr="004641A9">
        <w:rPr>
          <w:rFonts w:ascii="Calibri" w:eastAsia="Times New Roman" w:hAnsi="Calibri" w:cs="Times New Roman"/>
          <w:iCs/>
          <w:sz w:val="24"/>
          <w:szCs w:val="24"/>
        </w:rPr>
        <w:t xml:space="preserve"> kn). </w:t>
      </w:r>
    </w:p>
    <w:p w14:paraId="35259B12" w14:textId="77777777" w:rsidR="003442D8" w:rsidRPr="004641A9" w:rsidRDefault="003442D8" w:rsidP="003442D8">
      <w:pPr>
        <w:spacing w:after="0" w:line="240" w:lineRule="auto"/>
        <w:ind w:right="92"/>
        <w:jc w:val="both"/>
        <w:rPr>
          <w:rFonts w:ascii="Calibri" w:eastAsia="Times New Roman" w:hAnsi="Calibri" w:cs="Times New Roman"/>
          <w:b/>
          <w:bCs/>
          <w:iCs/>
          <w:sz w:val="24"/>
          <w:szCs w:val="24"/>
        </w:rPr>
      </w:pPr>
    </w:p>
    <w:p w14:paraId="7EBACF16" w14:textId="76593298" w:rsidR="003D36C5" w:rsidRPr="004641A9" w:rsidRDefault="003442D8" w:rsidP="003442D8">
      <w:pPr>
        <w:spacing w:after="0" w:line="240" w:lineRule="auto"/>
        <w:ind w:right="92"/>
        <w:jc w:val="both"/>
        <w:rPr>
          <w:rFonts w:ascii="Calibri" w:eastAsia="Times New Roman" w:hAnsi="Calibri" w:cs="Times New Roman"/>
          <w:iCs/>
          <w:sz w:val="24"/>
          <w:szCs w:val="24"/>
        </w:rPr>
      </w:pPr>
      <w:r w:rsidRPr="004641A9">
        <w:rPr>
          <w:rFonts w:ascii="Calibri" w:eastAsia="Times New Roman" w:hAnsi="Calibri" w:cs="Times New Roman"/>
          <w:b/>
          <w:bCs/>
          <w:iCs/>
          <w:sz w:val="24"/>
          <w:szCs w:val="24"/>
        </w:rPr>
        <w:t>/iii/</w:t>
      </w:r>
      <w:r w:rsidRPr="004641A9">
        <w:rPr>
          <w:rFonts w:ascii="Calibri" w:eastAsia="Times New Roman" w:hAnsi="Calibri" w:cs="Times New Roman"/>
          <w:iCs/>
          <w:sz w:val="24"/>
          <w:szCs w:val="24"/>
        </w:rPr>
        <w:t xml:space="preserve">        </w:t>
      </w:r>
      <w:r w:rsidR="003D36C5" w:rsidRPr="004641A9">
        <w:rPr>
          <w:rFonts w:ascii="Calibri" w:eastAsia="Times New Roman" w:hAnsi="Calibri" w:cs="Times New Roman"/>
          <w:iCs/>
          <w:sz w:val="24"/>
          <w:szCs w:val="24"/>
        </w:rPr>
        <w:t>Za podmirenje dugoročnih obveza po kreditima koje na 31. prosinca iznose</w:t>
      </w:r>
      <w:r w:rsidRPr="004641A9">
        <w:rPr>
          <w:rFonts w:ascii="Calibri" w:eastAsia="Times New Roman" w:hAnsi="Calibri" w:cs="Times New Roman"/>
          <w:iCs/>
          <w:sz w:val="24"/>
          <w:szCs w:val="24"/>
        </w:rPr>
        <w:t xml:space="preserve"> </w:t>
      </w:r>
      <w:r w:rsidR="008020D6" w:rsidRPr="004641A9">
        <w:rPr>
          <w:rFonts w:ascii="Calibri" w:eastAsia="Times New Roman" w:hAnsi="Calibri" w:cs="Times New Roman"/>
          <w:iCs/>
          <w:sz w:val="24"/>
          <w:szCs w:val="24"/>
        </w:rPr>
        <w:t>62.102.828,51</w:t>
      </w:r>
      <w:r w:rsidRPr="004641A9">
        <w:rPr>
          <w:rFonts w:ascii="Calibri" w:eastAsia="Times New Roman" w:hAnsi="Calibri" w:cs="Times New Roman"/>
          <w:iCs/>
          <w:sz w:val="24"/>
          <w:szCs w:val="24"/>
        </w:rPr>
        <w:t xml:space="preserve"> kn</w:t>
      </w:r>
      <w:r w:rsidR="003D36C5" w:rsidRPr="004641A9">
        <w:rPr>
          <w:rFonts w:ascii="Calibri" w:eastAsia="Times New Roman" w:hAnsi="Calibri" w:cs="Times New Roman"/>
          <w:iCs/>
          <w:sz w:val="24"/>
          <w:szCs w:val="24"/>
        </w:rPr>
        <w:t xml:space="preserve"> sredstva osiguravaju:</w:t>
      </w:r>
      <w:r w:rsidRPr="004641A9">
        <w:rPr>
          <w:rFonts w:ascii="Calibri" w:eastAsia="Times New Roman" w:hAnsi="Calibri" w:cs="Times New Roman"/>
          <w:iCs/>
          <w:sz w:val="24"/>
          <w:szCs w:val="24"/>
        </w:rPr>
        <w:t xml:space="preserve"> </w:t>
      </w:r>
    </w:p>
    <w:p w14:paraId="5FA77F1E" w14:textId="61A7E92E" w:rsidR="003D36C5" w:rsidRPr="004641A9" w:rsidRDefault="003D36C5" w:rsidP="003442D8">
      <w:pPr>
        <w:spacing w:after="0" w:line="240" w:lineRule="auto"/>
        <w:ind w:right="92"/>
        <w:jc w:val="both"/>
        <w:rPr>
          <w:rFonts w:ascii="Calibri" w:eastAsia="Times New Roman" w:hAnsi="Calibri" w:cs="Times New Roman"/>
          <w:iCs/>
          <w:sz w:val="24"/>
          <w:szCs w:val="24"/>
        </w:rPr>
      </w:pPr>
      <w:r w:rsidRPr="004641A9">
        <w:rPr>
          <w:rFonts w:ascii="Calibri" w:eastAsia="Times New Roman" w:hAnsi="Calibri" w:cs="Times New Roman"/>
          <w:iCs/>
          <w:sz w:val="24"/>
          <w:szCs w:val="24"/>
        </w:rPr>
        <w:t>- d</w:t>
      </w:r>
      <w:r w:rsidR="003442D8" w:rsidRPr="004641A9">
        <w:rPr>
          <w:rFonts w:ascii="Calibri" w:eastAsia="Times New Roman" w:hAnsi="Calibri" w:cs="Times New Roman"/>
          <w:iCs/>
          <w:sz w:val="24"/>
          <w:szCs w:val="24"/>
        </w:rPr>
        <w:t xml:space="preserve">ruštvo </w:t>
      </w:r>
      <w:r w:rsidRPr="004641A9">
        <w:rPr>
          <w:rFonts w:ascii="Calibri" w:eastAsia="Times New Roman" w:hAnsi="Calibri" w:cs="Times New Roman"/>
          <w:iCs/>
          <w:sz w:val="24"/>
          <w:szCs w:val="24"/>
        </w:rPr>
        <w:t>iz vlastitih sredstava ukupno 16.</w:t>
      </w:r>
      <w:r w:rsidR="008020D6" w:rsidRPr="004641A9">
        <w:rPr>
          <w:rFonts w:ascii="Calibri" w:eastAsia="Times New Roman" w:hAnsi="Calibri" w:cs="Times New Roman"/>
          <w:iCs/>
          <w:sz w:val="24"/>
          <w:szCs w:val="24"/>
        </w:rPr>
        <w:t>609.960,38</w:t>
      </w:r>
      <w:r w:rsidRPr="004641A9">
        <w:rPr>
          <w:rFonts w:ascii="Calibri" w:eastAsia="Times New Roman" w:hAnsi="Calibri" w:cs="Times New Roman"/>
          <w:iCs/>
          <w:sz w:val="24"/>
          <w:szCs w:val="24"/>
        </w:rPr>
        <w:t xml:space="preserve"> kn (</w:t>
      </w:r>
      <w:r w:rsidR="008020D6" w:rsidRPr="004641A9">
        <w:rPr>
          <w:rFonts w:ascii="Calibri" w:eastAsia="Times New Roman" w:hAnsi="Calibri" w:cs="Times New Roman"/>
          <w:iCs/>
          <w:sz w:val="24"/>
          <w:szCs w:val="24"/>
        </w:rPr>
        <w:t>13.573.677,15</w:t>
      </w:r>
      <w:r w:rsidRPr="004641A9">
        <w:rPr>
          <w:rFonts w:ascii="Calibri" w:eastAsia="Times New Roman" w:hAnsi="Calibri" w:cs="Times New Roman"/>
          <w:iCs/>
          <w:sz w:val="24"/>
          <w:szCs w:val="24"/>
        </w:rPr>
        <w:t xml:space="preserve"> kn za rekonstrukcije vodovoda, a </w:t>
      </w:r>
      <w:r w:rsidR="008020D6" w:rsidRPr="004641A9">
        <w:rPr>
          <w:rFonts w:ascii="Calibri" w:eastAsia="Times New Roman" w:hAnsi="Calibri" w:cs="Times New Roman"/>
          <w:iCs/>
          <w:sz w:val="24"/>
          <w:szCs w:val="24"/>
        </w:rPr>
        <w:t>3.036.283,23</w:t>
      </w:r>
      <w:r w:rsidRPr="004641A9">
        <w:rPr>
          <w:rFonts w:ascii="Calibri" w:eastAsia="Times New Roman" w:hAnsi="Calibri" w:cs="Times New Roman"/>
          <w:iCs/>
          <w:sz w:val="24"/>
          <w:szCs w:val="24"/>
        </w:rPr>
        <w:t xml:space="preserve"> kn za pokriće financijske korekcije</w:t>
      </w:r>
      <w:r w:rsidR="00A67362" w:rsidRPr="004641A9">
        <w:rPr>
          <w:rFonts w:ascii="Calibri" w:eastAsia="Times New Roman" w:hAnsi="Calibri" w:cs="Times New Roman"/>
          <w:iCs/>
          <w:sz w:val="24"/>
          <w:szCs w:val="24"/>
        </w:rPr>
        <w:t xml:space="preserve"> EU projekta</w:t>
      </w:r>
      <w:r w:rsidRPr="004641A9">
        <w:rPr>
          <w:rFonts w:ascii="Calibri" w:eastAsia="Times New Roman" w:hAnsi="Calibri" w:cs="Times New Roman"/>
          <w:iCs/>
          <w:sz w:val="24"/>
          <w:szCs w:val="24"/>
        </w:rPr>
        <w:t xml:space="preserve">), </w:t>
      </w:r>
      <w:r w:rsidR="003442D8" w:rsidRPr="004641A9">
        <w:rPr>
          <w:rFonts w:ascii="Calibri" w:eastAsia="Times New Roman" w:hAnsi="Calibri" w:cs="Times New Roman"/>
          <w:iCs/>
          <w:sz w:val="24"/>
          <w:szCs w:val="24"/>
        </w:rPr>
        <w:t xml:space="preserve"> </w:t>
      </w:r>
    </w:p>
    <w:p w14:paraId="37C4931E" w14:textId="2875FBDB" w:rsidR="003D36C5" w:rsidRPr="004641A9" w:rsidRDefault="003D36C5" w:rsidP="003442D8">
      <w:pPr>
        <w:spacing w:after="0" w:line="240" w:lineRule="auto"/>
        <w:ind w:right="92"/>
        <w:jc w:val="both"/>
        <w:rPr>
          <w:rFonts w:ascii="Calibri" w:eastAsia="Times New Roman" w:hAnsi="Calibri" w:cs="Times New Roman"/>
          <w:iCs/>
          <w:sz w:val="24"/>
          <w:szCs w:val="24"/>
        </w:rPr>
      </w:pPr>
      <w:r w:rsidRPr="004641A9">
        <w:rPr>
          <w:rFonts w:ascii="Calibri" w:eastAsia="Times New Roman" w:hAnsi="Calibri" w:cs="Times New Roman"/>
          <w:iCs/>
          <w:sz w:val="24"/>
          <w:szCs w:val="24"/>
        </w:rPr>
        <w:t xml:space="preserve">- sredstva naknade za razvoj ukupno </w:t>
      </w:r>
      <w:r w:rsidR="008020D6" w:rsidRPr="004641A9">
        <w:rPr>
          <w:rFonts w:ascii="Calibri" w:eastAsia="Times New Roman" w:hAnsi="Calibri" w:cs="Times New Roman"/>
          <w:iCs/>
          <w:sz w:val="24"/>
          <w:szCs w:val="24"/>
        </w:rPr>
        <w:t>30.306.660,81</w:t>
      </w:r>
      <w:r w:rsidRPr="004641A9">
        <w:rPr>
          <w:rFonts w:ascii="Calibri" w:eastAsia="Times New Roman" w:hAnsi="Calibri" w:cs="Times New Roman"/>
          <w:iCs/>
          <w:sz w:val="24"/>
          <w:szCs w:val="24"/>
        </w:rPr>
        <w:t xml:space="preserve"> kn (</w:t>
      </w:r>
      <w:r w:rsidR="008020D6" w:rsidRPr="004641A9">
        <w:rPr>
          <w:rFonts w:ascii="Calibri" w:eastAsia="Times New Roman" w:hAnsi="Calibri" w:cs="Times New Roman"/>
          <w:iCs/>
          <w:sz w:val="24"/>
          <w:szCs w:val="24"/>
        </w:rPr>
        <w:t>6.232.157,40</w:t>
      </w:r>
      <w:r w:rsidRPr="004641A9">
        <w:rPr>
          <w:rFonts w:ascii="Calibri" w:eastAsia="Times New Roman" w:hAnsi="Calibri" w:cs="Times New Roman"/>
          <w:iCs/>
          <w:sz w:val="24"/>
          <w:szCs w:val="24"/>
        </w:rPr>
        <w:t xml:space="preserve"> kn za obveze po Podzajmu kredita Projekta Jadran, a </w:t>
      </w:r>
      <w:r w:rsidR="008020D6" w:rsidRPr="004641A9">
        <w:rPr>
          <w:rFonts w:ascii="Calibri" w:eastAsia="Times New Roman" w:hAnsi="Calibri" w:cs="Times New Roman"/>
          <w:iCs/>
          <w:sz w:val="24"/>
          <w:szCs w:val="24"/>
        </w:rPr>
        <w:t>24.074.503,41</w:t>
      </w:r>
      <w:r w:rsidRPr="004641A9">
        <w:rPr>
          <w:rFonts w:ascii="Calibri" w:eastAsia="Times New Roman" w:hAnsi="Calibri" w:cs="Times New Roman"/>
          <w:iCs/>
          <w:sz w:val="24"/>
          <w:szCs w:val="24"/>
        </w:rPr>
        <w:t xml:space="preserve"> za pokriće financijske korekcije</w:t>
      </w:r>
      <w:r w:rsidR="00A67362" w:rsidRPr="004641A9">
        <w:rPr>
          <w:rFonts w:ascii="Calibri" w:eastAsia="Times New Roman" w:hAnsi="Calibri" w:cs="Times New Roman"/>
          <w:iCs/>
          <w:sz w:val="24"/>
          <w:szCs w:val="24"/>
        </w:rPr>
        <w:t xml:space="preserve"> EU projekta</w:t>
      </w:r>
      <w:r w:rsidRPr="004641A9">
        <w:rPr>
          <w:rFonts w:ascii="Calibri" w:eastAsia="Times New Roman" w:hAnsi="Calibri" w:cs="Times New Roman"/>
          <w:iCs/>
          <w:sz w:val="24"/>
          <w:szCs w:val="24"/>
        </w:rPr>
        <w:t>),</w:t>
      </w:r>
    </w:p>
    <w:p w14:paraId="0B4CAAFC" w14:textId="26A18CD0" w:rsidR="003D36C5" w:rsidRPr="004641A9" w:rsidRDefault="003D36C5" w:rsidP="003442D8">
      <w:pPr>
        <w:spacing w:after="0" w:line="240" w:lineRule="auto"/>
        <w:ind w:right="92"/>
        <w:jc w:val="both"/>
        <w:rPr>
          <w:rFonts w:ascii="Calibri" w:eastAsia="Times New Roman" w:hAnsi="Calibri" w:cs="Times New Roman"/>
          <w:iCs/>
          <w:sz w:val="24"/>
          <w:szCs w:val="24"/>
        </w:rPr>
      </w:pPr>
      <w:r w:rsidRPr="004641A9">
        <w:rPr>
          <w:rFonts w:ascii="Calibri" w:eastAsia="Times New Roman" w:hAnsi="Calibri" w:cs="Times New Roman"/>
          <w:iCs/>
          <w:sz w:val="24"/>
          <w:szCs w:val="24"/>
        </w:rPr>
        <w:t xml:space="preserve">- </w:t>
      </w:r>
      <w:r w:rsidR="00A67362" w:rsidRPr="004641A9">
        <w:rPr>
          <w:rFonts w:ascii="Calibri" w:eastAsia="Times New Roman" w:hAnsi="Calibri" w:cs="Times New Roman"/>
          <w:iCs/>
          <w:sz w:val="24"/>
          <w:szCs w:val="24"/>
        </w:rPr>
        <w:t>š</w:t>
      </w:r>
      <w:r w:rsidR="003442D8" w:rsidRPr="004641A9">
        <w:rPr>
          <w:rFonts w:ascii="Calibri" w:eastAsia="Times New Roman" w:hAnsi="Calibri" w:cs="Times New Roman"/>
          <w:iCs/>
          <w:sz w:val="24"/>
          <w:szCs w:val="24"/>
        </w:rPr>
        <w:t>est jedinica lokalne samouprave otoka Krka</w:t>
      </w:r>
      <w:r w:rsidRPr="004641A9">
        <w:rPr>
          <w:rFonts w:ascii="Calibri" w:eastAsia="Times New Roman" w:hAnsi="Calibri" w:cs="Times New Roman"/>
          <w:iCs/>
          <w:sz w:val="24"/>
          <w:szCs w:val="24"/>
        </w:rPr>
        <w:t xml:space="preserve"> </w:t>
      </w:r>
      <w:r w:rsidR="008020D6" w:rsidRPr="004641A9">
        <w:rPr>
          <w:rFonts w:ascii="Calibri" w:eastAsia="Times New Roman" w:hAnsi="Calibri" w:cs="Times New Roman"/>
          <w:iCs/>
          <w:sz w:val="24"/>
          <w:szCs w:val="24"/>
        </w:rPr>
        <w:t>15.186.207,32</w:t>
      </w:r>
      <w:r w:rsidRPr="004641A9">
        <w:rPr>
          <w:rFonts w:ascii="Calibri" w:eastAsia="Times New Roman" w:hAnsi="Calibri" w:cs="Times New Roman"/>
          <w:iCs/>
          <w:sz w:val="24"/>
          <w:szCs w:val="24"/>
        </w:rPr>
        <w:t xml:space="preserve"> kn </w:t>
      </w:r>
      <w:r w:rsidR="00A67362" w:rsidRPr="004641A9">
        <w:rPr>
          <w:rFonts w:ascii="Calibri" w:eastAsia="Times New Roman" w:hAnsi="Calibri" w:cs="Times New Roman"/>
          <w:iCs/>
          <w:sz w:val="24"/>
          <w:szCs w:val="24"/>
        </w:rPr>
        <w:t>(lokalni dio EU projekta i pokriće dijela financijske korekcije EU projekta)</w:t>
      </w:r>
      <w:r w:rsidR="003442D8" w:rsidRPr="004641A9">
        <w:rPr>
          <w:rFonts w:ascii="Calibri" w:eastAsia="Times New Roman" w:hAnsi="Calibri" w:cs="Times New Roman"/>
          <w:iCs/>
          <w:sz w:val="24"/>
          <w:szCs w:val="24"/>
        </w:rPr>
        <w:t xml:space="preserve">. </w:t>
      </w:r>
    </w:p>
    <w:p w14:paraId="17484B28" w14:textId="77777777" w:rsidR="003442D8" w:rsidRPr="004641A9" w:rsidRDefault="003442D8" w:rsidP="003442D8">
      <w:pPr>
        <w:spacing w:after="0" w:line="240" w:lineRule="auto"/>
        <w:ind w:right="92"/>
        <w:jc w:val="both"/>
        <w:rPr>
          <w:rFonts w:ascii="Calibri" w:eastAsia="Times New Roman" w:hAnsi="Calibri" w:cs="Times New Roman"/>
          <w:iCs/>
          <w:sz w:val="24"/>
          <w:szCs w:val="24"/>
        </w:rPr>
      </w:pPr>
      <w:r w:rsidRPr="004641A9">
        <w:rPr>
          <w:rFonts w:ascii="Calibri" w:eastAsia="Times New Roman" w:hAnsi="Calibri" w:cs="Times New Roman"/>
          <w:iCs/>
          <w:sz w:val="24"/>
          <w:szCs w:val="24"/>
        </w:rPr>
        <w:t xml:space="preserve">Detaljan pregled dugoročnih kredita prikazan je u dopunskim informacijama. </w:t>
      </w:r>
    </w:p>
    <w:p w14:paraId="4B780D8E" w14:textId="77777777" w:rsidR="003442D8" w:rsidRPr="004641A9" w:rsidRDefault="003442D8" w:rsidP="003442D8">
      <w:pPr>
        <w:spacing w:after="0" w:line="240" w:lineRule="auto"/>
        <w:ind w:right="92"/>
        <w:jc w:val="both"/>
        <w:rPr>
          <w:rFonts w:ascii="Calibri" w:eastAsia="Times New Roman" w:hAnsi="Calibri" w:cs="Times New Roman"/>
          <w:b/>
          <w:bCs/>
          <w:iCs/>
          <w:sz w:val="24"/>
          <w:szCs w:val="24"/>
        </w:rPr>
      </w:pPr>
    </w:p>
    <w:p w14:paraId="57ACDA20" w14:textId="2EAD6F84" w:rsidR="003442D8" w:rsidRPr="00DF679C" w:rsidRDefault="003442D8" w:rsidP="003442D8">
      <w:pPr>
        <w:spacing w:after="0" w:line="240" w:lineRule="auto"/>
        <w:ind w:right="92"/>
        <w:jc w:val="both"/>
        <w:rPr>
          <w:rFonts w:ascii="Calibri" w:eastAsia="Times New Roman" w:hAnsi="Calibri" w:cs="Times New Roman"/>
          <w:b/>
          <w:bCs/>
          <w:iCs/>
          <w:color w:val="FF0000"/>
          <w:sz w:val="24"/>
          <w:szCs w:val="24"/>
        </w:rPr>
      </w:pPr>
      <w:r w:rsidRPr="004641A9">
        <w:rPr>
          <w:rFonts w:ascii="Calibri" w:eastAsia="Times New Roman" w:hAnsi="Calibri" w:cs="Times New Roman"/>
          <w:b/>
          <w:bCs/>
          <w:iCs/>
          <w:sz w:val="24"/>
          <w:szCs w:val="24"/>
        </w:rPr>
        <w:t xml:space="preserve">/iv/       </w:t>
      </w:r>
      <w:r w:rsidR="003810BB" w:rsidRPr="004641A9">
        <w:rPr>
          <w:rFonts w:ascii="Calibri" w:eastAsia="Times New Roman" w:hAnsi="Calibri" w:cs="Times New Roman"/>
          <w:iCs/>
          <w:sz w:val="24"/>
          <w:szCs w:val="24"/>
        </w:rPr>
        <w:t>Društvo je na 31.12.20</w:t>
      </w:r>
      <w:r w:rsidR="008020D6" w:rsidRPr="004641A9">
        <w:rPr>
          <w:rFonts w:ascii="Calibri" w:eastAsia="Times New Roman" w:hAnsi="Calibri" w:cs="Times New Roman"/>
          <w:iCs/>
          <w:sz w:val="24"/>
          <w:szCs w:val="24"/>
        </w:rPr>
        <w:t>20</w:t>
      </w:r>
      <w:r w:rsidRPr="004641A9">
        <w:rPr>
          <w:rFonts w:ascii="Calibri" w:eastAsia="Times New Roman" w:hAnsi="Calibri" w:cs="Times New Roman"/>
          <w:iCs/>
          <w:sz w:val="24"/>
          <w:szCs w:val="24"/>
        </w:rPr>
        <w:t xml:space="preserve">. godine izvršilo svođenje obveza po kreditima s valutnom klauzulom na srednji tečaj HNB dok je obveze po podzajmu iz Projekta Jadran iskazalo po tečaju na dan nastanka obveze (Bilješka 1.1.). Društvo je postupilo na navedeni način iz razloga što se ta obveza vraća iz prikupljene naknade za razvoj, a ne iz vlastitih izvora. Svođenjem obveze podzajma na srednji tečaj HNB-a, obveza po dugoročnim dijelu podzajma bila bi manja za </w:t>
      </w:r>
      <w:r w:rsidR="008020D6" w:rsidRPr="004641A9">
        <w:rPr>
          <w:rFonts w:ascii="Calibri" w:eastAsia="Times New Roman" w:hAnsi="Calibri" w:cs="Times New Roman"/>
          <w:iCs/>
          <w:sz w:val="24"/>
          <w:szCs w:val="24"/>
        </w:rPr>
        <w:t>55.498,70</w:t>
      </w:r>
      <w:r w:rsidR="00A67362" w:rsidRPr="004641A9">
        <w:rPr>
          <w:rFonts w:ascii="Calibri" w:eastAsia="Times New Roman" w:hAnsi="Calibri" w:cs="Times New Roman"/>
          <w:iCs/>
          <w:sz w:val="24"/>
          <w:szCs w:val="24"/>
        </w:rPr>
        <w:t xml:space="preserve"> </w:t>
      </w:r>
      <w:r w:rsidRPr="004641A9">
        <w:rPr>
          <w:rFonts w:ascii="Calibri" w:eastAsia="Times New Roman" w:hAnsi="Calibri" w:cs="Times New Roman"/>
          <w:iCs/>
          <w:sz w:val="24"/>
          <w:szCs w:val="24"/>
        </w:rPr>
        <w:t>kn (pozitivne tečajne razlike).</w:t>
      </w:r>
    </w:p>
    <w:p w14:paraId="1D38D9CA" w14:textId="7C0A712D" w:rsidR="00F642EB" w:rsidRDefault="00F642EB" w:rsidP="003442D8">
      <w:pPr>
        <w:spacing w:after="0" w:line="240" w:lineRule="auto"/>
        <w:rPr>
          <w:rFonts w:ascii="Calibri" w:eastAsia="Times New Roman" w:hAnsi="Calibri" w:cs="Times New Roman"/>
          <w:b/>
          <w:bCs/>
          <w:iCs/>
          <w:sz w:val="24"/>
          <w:szCs w:val="24"/>
        </w:rPr>
      </w:pPr>
    </w:p>
    <w:p w14:paraId="37A4C82E" w14:textId="77777777" w:rsidR="00A3414A" w:rsidRPr="00DF679C" w:rsidRDefault="00A3414A" w:rsidP="003442D8">
      <w:pPr>
        <w:spacing w:after="0" w:line="240" w:lineRule="auto"/>
        <w:rPr>
          <w:rFonts w:ascii="Calibri" w:eastAsia="Times New Roman" w:hAnsi="Calibri" w:cs="Times New Roman"/>
          <w:b/>
          <w:bCs/>
          <w:iCs/>
          <w:sz w:val="24"/>
          <w:szCs w:val="24"/>
        </w:rPr>
      </w:pPr>
    </w:p>
    <w:p w14:paraId="1C229C82" w14:textId="3963487F" w:rsidR="00B220EE" w:rsidRPr="00AD0D10" w:rsidRDefault="00B220EE"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OBVEZE ZA ZAJMOVE, DEPOZITE I SLIČNO</w:t>
      </w:r>
    </w:p>
    <w:p w14:paraId="626A0D0D" w14:textId="19839A18" w:rsidR="00B220EE" w:rsidRPr="00B220EE" w:rsidRDefault="00B220EE" w:rsidP="00B220EE">
      <w:pPr>
        <w:spacing w:after="0" w:line="240" w:lineRule="auto"/>
        <w:ind w:right="92"/>
        <w:contextualSpacing/>
        <w:jc w:val="both"/>
        <w:rPr>
          <w:rFonts w:ascii="Calibri" w:eastAsia="Times New Roman" w:hAnsi="Calibri" w:cs="Times New Roman"/>
          <w:iCs/>
          <w:sz w:val="24"/>
          <w:szCs w:val="24"/>
        </w:rPr>
      </w:pPr>
    </w:p>
    <w:p w14:paraId="45A73DB7" w14:textId="3CC1C167" w:rsidR="00B220EE" w:rsidRDefault="00B220EE" w:rsidP="00534C8B">
      <w:pPr>
        <w:spacing w:after="0" w:line="240" w:lineRule="auto"/>
        <w:ind w:right="92"/>
        <w:contextualSpacing/>
        <w:jc w:val="both"/>
        <w:rPr>
          <w:rFonts w:ascii="Calibri" w:eastAsia="Times New Roman" w:hAnsi="Calibri" w:cs="Times New Roman"/>
          <w:iCs/>
          <w:sz w:val="24"/>
          <w:szCs w:val="24"/>
        </w:rPr>
      </w:pPr>
      <w:r w:rsidRPr="00B220EE">
        <w:rPr>
          <w:rFonts w:ascii="Calibri" w:eastAsia="Times New Roman" w:hAnsi="Calibri" w:cs="Times New Roman"/>
          <w:iCs/>
          <w:sz w:val="24"/>
          <w:szCs w:val="24"/>
        </w:rPr>
        <w:t xml:space="preserve">Društvo </w:t>
      </w:r>
      <w:r>
        <w:rPr>
          <w:rFonts w:ascii="Calibri" w:eastAsia="Times New Roman" w:hAnsi="Calibri" w:cs="Times New Roman"/>
          <w:iCs/>
          <w:sz w:val="24"/>
          <w:szCs w:val="24"/>
        </w:rPr>
        <w:t>na dan 31. prosinca 2020. godine ima primljena</w:t>
      </w:r>
      <w:r w:rsidRPr="00B220EE">
        <w:rPr>
          <w:rFonts w:ascii="Calibri" w:eastAsia="Times New Roman" w:hAnsi="Calibri" w:cs="Times New Roman"/>
          <w:iCs/>
          <w:sz w:val="24"/>
          <w:szCs w:val="24"/>
        </w:rPr>
        <w:t xml:space="preserve"> jamstv</w:t>
      </w:r>
      <w:r>
        <w:rPr>
          <w:rFonts w:ascii="Calibri" w:eastAsia="Times New Roman" w:hAnsi="Calibri" w:cs="Times New Roman"/>
          <w:iCs/>
          <w:sz w:val="24"/>
          <w:szCs w:val="24"/>
        </w:rPr>
        <w:t>a</w:t>
      </w:r>
      <w:r w:rsidRPr="00B220EE">
        <w:rPr>
          <w:rFonts w:ascii="Calibri" w:eastAsia="Times New Roman" w:hAnsi="Calibri" w:cs="Times New Roman"/>
          <w:iCs/>
          <w:sz w:val="24"/>
          <w:szCs w:val="24"/>
        </w:rPr>
        <w:t xml:space="preserve"> za ozbiljnost ponuda </w:t>
      </w:r>
      <w:r w:rsidR="00534C8B">
        <w:rPr>
          <w:rFonts w:ascii="Calibri" w:eastAsia="Times New Roman" w:hAnsi="Calibri" w:cs="Times New Roman"/>
          <w:iCs/>
          <w:sz w:val="24"/>
          <w:szCs w:val="24"/>
        </w:rPr>
        <w:t>u ukupnom</w:t>
      </w:r>
      <w:r w:rsidR="00534C8B" w:rsidRPr="00B220EE">
        <w:rPr>
          <w:rFonts w:ascii="Calibri" w:eastAsia="Times New Roman" w:hAnsi="Calibri" w:cs="Times New Roman"/>
          <w:iCs/>
          <w:sz w:val="24"/>
          <w:szCs w:val="24"/>
        </w:rPr>
        <w:t xml:space="preserve"> iznosu od 422.129,00 kn </w:t>
      </w:r>
      <w:r w:rsidRPr="00B220EE">
        <w:rPr>
          <w:rFonts w:ascii="Calibri" w:eastAsia="Times New Roman" w:hAnsi="Calibri" w:cs="Times New Roman"/>
          <w:iCs/>
          <w:sz w:val="24"/>
          <w:szCs w:val="24"/>
        </w:rPr>
        <w:t>u</w:t>
      </w:r>
      <w:r>
        <w:rPr>
          <w:rFonts w:ascii="Calibri" w:eastAsia="Times New Roman" w:hAnsi="Calibri" w:cs="Times New Roman"/>
          <w:iCs/>
          <w:sz w:val="24"/>
          <w:szCs w:val="24"/>
        </w:rPr>
        <w:t>plaćena</w:t>
      </w:r>
      <w:r w:rsidR="00534C8B">
        <w:rPr>
          <w:rFonts w:ascii="Calibri" w:eastAsia="Times New Roman" w:hAnsi="Calibri" w:cs="Times New Roman"/>
          <w:iCs/>
          <w:sz w:val="24"/>
          <w:szCs w:val="24"/>
        </w:rPr>
        <w:t xml:space="preserve"> od </w:t>
      </w:r>
      <w:r w:rsidR="00534C8B" w:rsidRPr="00534C8B">
        <w:rPr>
          <w:rFonts w:ascii="Calibri" w:eastAsia="Times New Roman" w:hAnsi="Calibri" w:cs="Times New Roman"/>
          <w:iCs/>
          <w:sz w:val="24"/>
          <w:szCs w:val="24"/>
        </w:rPr>
        <w:t>ponuditelja u postupcima javne nabave, kao instrument osiguranja od određenih rizika</w:t>
      </w:r>
      <w:r w:rsidR="00534C8B">
        <w:rPr>
          <w:rFonts w:ascii="Calibri" w:eastAsia="Times New Roman" w:hAnsi="Calibri" w:cs="Times New Roman"/>
          <w:iCs/>
          <w:sz w:val="24"/>
          <w:szCs w:val="24"/>
        </w:rPr>
        <w:t xml:space="preserve"> (</w:t>
      </w:r>
      <w:r w:rsidR="00534C8B" w:rsidRPr="00534C8B">
        <w:rPr>
          <w:rFonts w:ascii="Calibri" w:eastAsia="Times New Roman" w:hAnsi="Calibri" w:cs="Times New Roman"/>
          <w:iCs/>
          <w:sz w:val="24"/>
          <w:szCs w:val="24"/>
        </w:rPr>
        <w:t>odustajanje ponuditelja od ponude u roku njezine valjanosti,  neprihvaćanje ispravka računske pogreške,</w:t>
      </w:r>
      <w:r w:rsidR="00534C8B">
        <w:rPr>
          <w:rFonts w:ascii="Calibri" w:eastAsia="Times New Roman" w:hAnsi="Calibri" w:cs="Times New Roman"/>
          <w:iCs/>
          <w:sz w:val="24"/>
          <w:szCs w:val="24"/>
        </w:rPr>
        <w:t xml:space="preserve"> </w:t>
      </w:r>
      <w:r w:rsidR="00534C8B" w:rsidRPr="00534C8B">
        <w:rPr>
          <w:rFonts w:ascii="Calibri" w:eastAsia="Times New Roman" w:hAnsi="Calibri" w:cs="Times New Roman"/>
          <w:iCs/>
          <w:sz w:val="24"/>
          <w:szCs w:val="24"/>
        </w:rPr>
        <w:t>odbijanje potpisivanja ugovora o javnoj nabavi ili</w:t>
      </w:r>
      <w:r w:rsidR="00534C8B">
        <w:rPr>
          <w:rFonts w:ascii="Calibri" w:eastAsia="Times New Roman" w:hAnsi="Calibri" w:cs="Times New Roman"/>
          <w:iCs/>
          <w:sz w:val="24"/>
          <w:szCs w:val="24"/>
        </w:rPr>
        <w:t xml:space="preserve"> </w:t>
      </w:r>
      <w:r w:rsidR="00534C8B" w:rsidRPr="00534C8B">
        <w:rPr>
          <w:rFonts w:ascii="Calibri" w:eastAsia="Times New Roman" w:hAnsi="Calibri" w:cs="Times New Roman"/>
          <w:iCs/>
          <w:sz w:val="24"/>
          <w:szCs w:val="24"/>
        </w:rPr>
        <w:t>nedostavljanje jamstva za uredno ispunjenje ugovora o javnoj nabavi</w:t>
      </w:r>
      <w:r w:rsidR="00534C8B">
        <w:rPr>
          <w:rFonts w:ascii="Calibri" w:eastAsia="Times New Roman" w:hAnsi="Calibri" w:cs="Times New Roman"/>
          <w:iCs/>
          <w:sz w:val="24"/>
          <w:szCs w:val="24"/>
        </w:rPr>
        <w:t>)</w:t>
      </w:r>
      <w:r w:rsidR="00534C8B" w:rsidRPr="00534C8B">
        <w:rPr>
          <w:rFonts w:ascii="Calibri" w:eastAsia="Times New Roman" w:hAnsi="Calibri" w:cs="Times New Roman"/>
          <w:iCs/>
          <w:sz w:val="24"/>
          <w:szCs w:val="24"/>
        </w:rPr>
        <w:t>.</w:t>
      </w:r>
    </w:p>
    <w:p w14:paraId="5B6B6EA1" w14:textId="47A057DD" w:rsidR="00B220EE" w:rsidRDefault="00B220EE" w:rsidP="00B220EE">
      <w:pPr>
        <w:spacing w:after="0" w:line="240" w:lineRule="auto"/>
        <w:ind w:right="92"/>
        <w:contextualSpacing/>
        <w:jc w:val="both"/>
        <w:rPr>
          <w:rFonts w:ascii="Calibri" w:eastAsia="Times New Roman" w:hAnsi="Calibri" w:cs="Times New Roman"/>
          <w:iCs/>
          <w:sz w:val="24"/>
          <w:szCs w:val="24"/>
        </w:rPr>
      </w:pPr>
    </w:p>
    <w:p w14:paraId="6D579A3D" w14:textId="77777777" w:rsidR="00A3414A" w:rsidRPr="00B220EE" w:rsidRDefault="00A3414A" w:rsidP="00B220EE">
      <w:pPr>
        <w:spacing w:after="0" w:line="240" w:lineRule="auto"/>
        <w:ind w:right="92"/>
        <w:contextualSpacing/>
        <w:jc w:val="both"/>
        <w:rPr>
          <w:rFonts w:ascii="Calibri" w:eastAsia="Times New Roman" w:hAnsi="Calibri" w:cs="Times New Roman"/>
          <w:iCs/>
          <w:sz w:val="24"/>
          <w:szCs w:val="24"/>
        </w:rPr>
      </w:pPr>
    </w:p>
    <w:p w14:paraId="2907DDE5" w14:textId="730B860D"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OBVEZE ZA PREDUJMOVE</w:t>
      </w:r>
    </w:p>
    <w:p w14:paraId="2DD866EB"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ab/>
      </w:r>
    </w:p>
    <w:p w14:paraId="61F11F35" w14:textId="1CF36439"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Obveze za primljene predujmove u iznosu </w:t>
      </w:r>
      <w:r w:rsidR="00725954" w:rsidRPr="00DF679C">
        <w:rPr>
          <w:rFonts w:ascii="Calibri" w:eastAsia="Times New Roman" w:hAnsi="Calibri" w:cs="Times New Roman"/>
          <w:iCs/>
          <w:sz w:val="24"/>
          <w:szCs w:val="24"/>
        </w:rPr>
        <w:t>od 1</w:t>
      </w:r>
      <w:r w:rsidR="00552FE3" w:rsidRPr="00DF679C">
        <w:rPr>
          <w:rFonts w:ascii="Calibri" w:eastAsia="Times New Roman" w:hAnsi="Calibri" w:cs="Times New Roman"/>
          <w:iCs/>
          <w:sz w:val="24"/>
          <w:szCs w:val="24"/>
        </w:rPr>
        <w:t>31</w:t>
      </w:r>
      <w:r w:rsidR="00725954" w:rsidRPr="00DF679C">
        <w:rPr>
          <w:rFonts w:ascii="Calibri" w:eastAsia="Times New Roman" w:hAnsi="Calibri" w:cs="Times New Roman"/>
          <w:iCs/>
          <w:sz w:val="24"/>
          <w:szCs w:val="24"/>
        </w:rPr>
        <w:t>.</w:t>
      </w:r>
      <w:r w:rsidR="00552FE3" w:rsidRPr="00DF679C">
        <w:rPr>
          <w:rFonts w:ascii="Calibri" w:eastAsia="Times New Roman" w:hAnsi="Calibri" w:cs="Times New Roman"/>
          <w:iCs/>
          <w:sz w:val="24"/>
          <w:szCs w:val="24"/>
        </w:rPr>
        <w:t>351,38</w:t>
      </w:r>
      <w:r w:rsidRPr="00DF679C">
        <w:rPr>
          <w:rFonts w:ascii="Calibri" w:eastAsia="Times New Roman" w:hAnsi="Calibri" w:cs="Times New Roman"/>
          <w:iCs/>
          <w:sz w:val="24"/>
          <w:szCs w:val="24"/>
        </w:rPr>
        <w:t xml:space="preserve"> kn odnose se predujmove građana za vodovodne / kanalizacijske priključke. </w:t>
      </w:r>
    </w:p>
    <w:p w14:paraId="7A472C49" w14:textId="54C51803" w:rsidR="003442D8" w:rsidRDefault="003442D8" w:rsidP="003442D8">
      <w:pPr>
        <w:spacing w:after="0" w:line="240" w:lineRule="auto"/>
        <w:ind w:right="92"/>
        <w:jc w:val="both"/>
        <w:rPr>
          <w:rFonts w:ascii="Calibri" w:eastAsia="Times New Roman" w:hAnsi="Calibri" w:cs="Times New Roman"/>
          <w:b/>
          <w:bCs/>
          <w:iCs/>
          <w:sz w:val="24"/>
          <w:szCs w:val="24"/>
        </w:rPr>
      </w:pPr>
    </w:p>
    <w:p w14:paraId="2836FCB0" w14:textId="6088BE5B" w:rsidR="00A3414A" w:rsidRDefault="00A3414A" w:rsidP="003442D8">
      <w:pPr>
        <w:spacing w:after="0" w:line="240" w:lineRule="auto"/>
        <w:ind w:right="92"/>
        <w:jc w:val="both"/>
        <w:rPr>
          <w:rFonts w:ascii="Calibri" w:eastAsia="Times New Roman" w:hAnsi="Calibri" w:cs="Times New Roman"/>
          <w:b/>
          <w:bCs/>
          <w:iCs/>
          <w:sz w:val="24"/>
          <w:szCs w:val="24"/>
        </w:rPr>
      </w:pPr>
    </w:p>
    <w:p w14:paraId="78FBA1C4" w14:textId="77777777" w:rsidR="00A3414A" w:rsidRPr="00DF679C" w:rsidRDefault="00A3414A" w:rsidP="003442D8">
      <w:pPr>
        <w:spacing w:after="0" w:line="240" w:lineRule="auto"/>
        <w:ind w:right="92"/>
        <w:jc w:val="both"/>
        <w:rPr>
          <w:rFonts w:ascii="Calibri" w:eastAsia="Times New Roman" w:hAnsi="Calibri" w:cs="Times New Roman"/>
          <w:b/>
          <w:bCs/>
          <w:iCs/>
          <w:sz w:val="24"/>
          <w:szCs w:val="24"/>
        </w:rPr>
      </w:pPr>
    </w:p>
    <w:p w14:paraId="177AEC46" w14:textId="77777777" w:rsidR="003442D8" w:rsidRPr="00DF679C" w:rsidRDefault="003442D8" w:rsidP="003442D8">
      <w:pPr>
        <w:spacing w:after="0" w:line="240" w:lineRule="auto"/>
        <w:ind w:right="92"/>
        <w:jc w:val="both"/>
        <w:rPr>
          <w:rFonts w:ascii="Calibri" w:eastAsia="Times New Roman" w:hAnsi="Calibri" w:cs="Times New Roman"/>
          <w:b/>
          <w:bCs/>
          <w:iCs/>
          <w:sz w:val="24"/>
          <w:szCs w:val="24"/>
        </w:rPr>
      </w:pPr>
    </w:p>
    <w:p w14:paraId="61C707BA"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OBVEZE PREMA DOBAVLJAČIMA</w:t>
      </w:r>
    </w:p>
    <w:p w14:paraId="2B8063A8" w14:textId="77777777" w:rsidR="003442D8" w:rsidRPr="00DF679C" w:rsidRDefault="003442D8" w:rsidP="003442D8">
      <w:pPr>
        <w:spacing w:after="0" w:line="240" w:lineRule="auto"/>
        <w:ind w:right="92"/>
        <w:jc w:val="both"/>
        <w:rPr>
          <w:rFonts w:ascii="Calibri" w:eastAsia="Times New Roman" w:hAnsi="Calibri" w:cs="Times New Roman"/>
          <w:iCs/>
          <w:sz w:val="16"/>
          <w:szCs w:val="16"/>
        </w:rPr>
      </w:pPr>
    </w:p>
    <w:p w14:paraId="777BEBE2" w14:textId="648BC95F"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Obveze prema dobav</w:t>
      </w:r>
      <w:r w:rsidR="00725954" w:rsidRPr="00DF679C">
        <w:rPr>
          <w:rFonts w:ascii="Calibri" w:eastAsia="Times New Roman" w:hAnsi="Calibri" w:cs="Times New Roman"/>
          <w:iCs/>
          <w:sz w:val="24"/>
          <w:szCs w:val="24"/>
        </w:rPr>
        <w:t>ljačima na dan 31. prosinca 20</w:t>
      </w:r>
      <w:r w:rsidR="0013131F"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xml:space="preserve">. godine iznose </w:t>
      </w:r>
      <w:r w:rsidR="001437E1" w:rsidRPr="00DF679C">
        <w:rPr>
          <w:rFonts w:ascii="Calibri" w:eastAsia="Times New Roman" w:hAnsi="Calibri" w:cs="Times New Roman"/>
          <w:iCs/>
          <w:sz w:val="24"/>
          <w:szCs w:val="24"/>
        </w:rPr>
        <w:t>43.755.809,97</w:t>
      </w:r>
      <w:r w:rsidRPr="00DF679C">
        <w:rPr>
          <w:rFonts w:ascii="Calibri" w:eastAsia="Times New Roman" w:hAnsi="Calibri" w:cs="Times New Roman"/>
          <w:iCs/>
          <w:sz w:val="24"/>
          <w:szCs w:val="24"/>
        </w:rPr>
        <w:t xml:space="preserve"> </w:t>
      </w:r>
      <w:r w:rsidR="001F5C5D" w:rsidRPr="00DF679C">
        <w:rPr>
          <w:rFonts w:ascii="Calibri" w:eastAsia="Times New Roman" w:hAnsi="Calibri" w:cs="Times New Roman"/>
          <w:iCs/>
          <w:sz w:val="24"/>
          <w:szCs w:val="24"/>
        </w:rPr>
        <w:t>kn</w:t>
      </w:r>
      <w:r w:rsidRPr="00DF679C">
        <w:rPr>
          <w:rFonts w:ascii="Calibri" w:eastAsia="Times New Roman" w:hAnsi="Calibri" w:cs="Times New Roman"/>
          <w:iCs/>
          <w:sz w:val="24"/>
          <w:szCs w:val="24"/>
        </w:rPr>
        <w:t xml:space="preserve">, a u najznačajnijem dijelu odnose se na obveze prema dobavljačima za investicije - EU projekt. </w:t>
      </w:r>
    </w:p>
    <w:p w14:paraId="681544B8"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Za podmirenje tih obveza sredstva će osigurati</w:t>
      </w:r>
      <w:r w:rsidR="00A67362" w:rsidRPr="00DF679C">
        <w:rPr>
          <w:rFonts w:ascii="Calibri" w:eastAsia="Times New Roman" w:hAnsi="Calibri" w:cs="Times New Roman"/>
          <w:iCs/>
          <w:sz w:val="24"/>
          <w:szCs w:val="24"/>
        </w:rPr>
        <w:t>:</w:t>
      </w:r>
      <w:r w:rsidRPr="00DF679C">
        <w:rPr>
          <w:rFonts w:ascii="Calibri" w:eastAsia="Times New Roman" w:hAnsi="Calibri" w:cs="Times New Roman"/>
          <w:iCs/>
          <w:sz w:val="24"/>
          <w:szCs w:val="24"/>
        </w:rPr>
        <w:t xml:space="preserve"> Hrvatske vode, resorno ministarstvo, </w:t>
      </w:r>
      <w:r w:rsidR="00A67362" w:rsidRPr="00DF679C">
        <w:rPr>
          <w:rFonts w:ascii="Calibri" w:eastAsia="Times New Roman" w:hAnsi="Calibri" w:cs="Times New Roman"/>
          <w:iCs/>
          <w:sz w:val="24"/>
          <w:szCs w:val="24"/>
        </w:rPr>
        <w:t>EU fondovi te Društvo s partnerima na projektu (šest jedinica lokalne samouprave)</w:t>
      </w:r>
      <w:r w:rsidRPr="00DF679C">
        <w:rPr>
          <w:rFonts w:ascii="Calibri" w:eastAsia="Times New Roman" w:hAnsi="Calibri" w:cs="Times New Roman"/>
          <w:iCs/>
          <w:sz w:val="24"/>
          <w:szCs w:val="24"/>
        </w:rPr>
        <w:t xml:space="preserve">. </w:t>
      </w:r>
    </w:p>
    <w:p w14:paraId="12FA3E5C"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Značajnije obveze prema dobavljačima prikazujemo u nastavku:</w:t>
      </w:r>
    </w:p>
    <w:p w14:paraId="5262FF12" w14:textId="77777777" w:rsidR="004641A9" w:rsidRPr="00DF679C" w:rsidRDefault="004641A9" w:rsidP="003442D8">
      <w:pPr>
        <w:spacing w:after="0" w:line="240" w:lineRule="auto"/>
        <w:ind w:right="92"/>
        <w:jc w:val="both"/>
        <w:rPr>
          <w:rFonts w:ascii="Calibri" w:eastAsia="Times New Roman" w:hAnsi="Calibri" w:cs="Times New Roman"/>
          <w:iCs/>
          <w:sz w:val="24"/>
          <w:szCs w:val="24"/>
        </w:rPr>
      </w:pPr>
    </w:p>
    <w:tbl>
      <w:tblPr>
        <w:tblW w:w="6421" w:type="dxa"/>
        <w:tblLayout w:type="fixed"/>
        <w:tblLook w:val="01E0" w:firstRow="1" w:lastRow="1" w:firstColumn="1" w:lastColumn="1" w:noHBand="0" w:noVBand="0"/>
      </w:tblPr>
      <w:tblGrid>
        <w:gridCol w:w="15"/>
        <w:gridCol w:w="3416"/>
        <w:gridCol w:w="1956"/>
        <w:gridCol w:w="1034"/>
      </w:tblGrid>
      <w:tr w:rsidR="00725954" w:rsidRPr="00DF679C" w14:paraId="57DC8CB1" w14:textId="77777777" w:rsidTr="00C15873">
        <w:trPr>
          <w:gridBefore w:val="1"/>
          <w:wBefore w:w="15" w:type="dxa"/>
          <w:trHeight w:val="399"/>
        </w:trPr>
        <w:tc>
          <w:tcPr>
            <w:tcW w:w="3416" w:type="dxa"/>
            <w:vAlign w:val="center"/>
          </w:tcPr>
          <w:p w14:paraId="48D635FB" w14:textId="77777777" w:rsidR="00725954" w:rsidRPr="00DF679C" w:rsidRDefault="00725954" w:rsidP="003442D8">
            <w:pPr>
              <w:spacing w:after="0" w:line="240" w:lineRule="auto"/>
              <w:rPr>
                <w:rFonts w:eastAsia="Times New Roman" w:cs="Times New Roman"/>
                <w:b/>
                <w:iCs/>
                <w:sz w:val="24"/>
                <w:szCs w:val="24"/>
              </w:rPr>
            </w:pPr>
            <w:r w:rsidRPr="00DF679C">
              <w:rPr>
                <w:rFonts w:eastAsia="Times New Roman" w:cs="Times New Roman"/>
                <w:b/>
                <w:iCs/>
                <w:sz w:val="24"/>
                <w:szCs w:val="24"/>
              </w:rPr>
              <w:t xml:space="preserve">DOBAVLJAČI  </w:t>
            </w:r>
          </w:p>
        </w:tc>
        <w:tc>
          <w:tcPr>
            <w:tcW w:w="2990" w:type="dxa"/>
            <w:gridSpan w:val="2"/>
            <w:vAlign w:val="center"/>
          </w:tcPr>
          <w:p w14:paraId="5CE1A750" w14:textId="77777777" w:rsidR="00725954" w:rsidRPr="00DF679C" w:rsidRDefault="00725954" w:rsidP="003442D8">
            <w:pPr>
              <w:spacing w:after="0" w:line="240" w:lineRule="auto"/>
              <w:ind w:right="92"/>
              <w:jc w:val="center"/>
              <w:rPr>
                <w:rFonts w:eastAsia="Times New Roman" w:cs="Times New Roman"/>
                <w:iCs/>
                <w:sz w:val="24"/>
                <w:szCs w:val="24"/>
              </w:rPr>
            </w:pPr>
          </w:p>
        </w:tc>
      </w:tr>
      <w:tr w:rsidR="00725954" w:rsidRPr="00DF679C" w14:paraId="134A5A50" w14:textId="77777777" w:rsidTr="00C15873">
        <w:trPr>
          <w:gridBefore w:val="1"/>
          <w:gridAfter w:val="1"/>
          <w:wBefore w:w="15" w:type="dxa"/>
          <w:wAfter w:w="1034" w:type="dxa"/>
          <w:trHeight w:val="277"/>
        </w:trPr>
        <w:tc>
          <w:tcPr>
            <w:tcW w:w="3416" w:type="dxa"/>
            <w:vAlign w:val="center"/>
          </w:tcPr>
          <w:p w14:paraId="430E39F8" w14:textId="77777777" w:rsidR="00725954" w:rsidRPr="00DF679C" w:rsidRDefault="00725954" w:rsidP="003442D8">
            <w:pPr>
              <w:spacing w:after="0" w:line="240" w:lineRule="auto"/>
              <w:rPr>
                <w:rFonts w:eastAsia="Times New Roman" w:cs="Times New Roman"/>
                <w:iCs/>
                <w:sz w:val="24"/>
                <w:szCs w:val="24"/>
              </w:rPr>
            </w:pPr>
            <w:r w:rsidRPr="00DF679C">
              <w:rPr>
                <w:rFonts w:ascii="Calibri" w:eastAsia="Times New Roman" w:hAnsi="Calibri" w:cs="Times New Roman"/>
                <w:sz w:val="24"/>
                <w:szCs w:val="24"/>
              </w:rPr>
              <w:t>Gorenjska gradbena družba d.d.</w:t>
            </w:r>
          </w:p>
        </w:tc>
        <w:tc>
          <w:tcPr>
            <w:tcW w:w="1956" w:type="dxa"/>
            <w:vAlign w:val="center"/>
          </w:tcPr>
          <w:p w14:paraId="13D2A681" w14:textId="41A155D9" w:rsidR="00725954" w:rsidRPr="00DF679C" w:rsidRDefault="000144E4" w:rsidP="00F2139B">
            <w:pPr>
              <w:spacing w:after="0" w:line="240" w:lineRule="auto"/>
              <w:ind w:right="92"/>
              <w:jc w:val="right"/>
              <w:rPr>
                <w:rFonts w:eastAsia="Times New Roman" w:cs="Times New Roman"/>
                <w:iCs/>
                <w:sz w:val="24"/>
                <w:szCs w:val="24"/>
              </w:rPr>
            </w:pPr>
            <w:r w:rsidRPr="00DF679C">
              <w:rPr>
                <w:rFonts w:eastAsia="Times New Roman" w:cs="Times New Roman"/>
                <w:iCs/>
                <w:sz w:val="24"/>
                <w:szCs w:val="24"/>
              </w:rPr>
              <w:t>41.760.998,14</w:t>
            </w:r>
          </w:p>
        </w:tc>
      </w:tr>
      <w:tr w:rsidR="000144E4" w:rsidRPr="00DF679C" w14:paraId="1A1A46FA" w14:textId="77777777" w:rsidTr="00C15873">
        <w:trPr>
          <w:gridBefore w:val="1"/>
          <w:gridAfter w:val="1"/>
          <w:wBefore w:w="15" w:type="dxa"/>
          <w:wAfter w:w="1034" w:type="dxa"/>
          <w:trHeight w:val="290"/>
        </w:trPr>
        <w:tc>
          <w:tcPr>
            <w:tcW w:w="3416" w:type="dxa"/>
            <w:vAlign w:val="center"/>
          </w:tcPr>
          <w:p w14:paraId="0F708B3D" w14:textId="5AA944BD" w:rsidR="000144E4" w:rsidRPr="00DF679C" w:rsidRDefault="000144E4" w:rsidP="003442D8">
            <w:pPr>
              <w:spacing w:after="0" w:line="240" w:lineRule="auto"/>
              <w:rPr>
                <w:rFonts w:ascii="Calibri" w:eastAsia="Times New Roman" w:hAnsi="Calibri" w:cs="Times New Roman"/>
                <w:sz w:val="24"/>
                <w:szCs w:val="24"/>
              </w:rPr>
            </w:pPr>
            <w:r w:rsidRPr="00DF679C">
              <w:rPr>
                <w:rFonts w:ascii="Calibri" w:eastAsia="Times New Roman" w:hAnsi="Calibri" w:cs="Times New Roman"/>
                <w:sz w:val="24"/>
                <w:szCs w:val="24"/>
              </w:rPr>
              <w:t>WYG savjetovanje d.o.o.</w:t>
            </w:r>
          </w:p>
        </w:tc>
        <w:tc>
          <w:tcPr>
            <w:tcW w:w="1956" w:type="dxa"/>
            <w:tcBorders>
              <w:bottom w:val="single" w:sz="4" w:space="0" w:color="auto"/>
            </w:tcBorders>
            <w:vAlign w:val="center"/>
          </w:tcPr>
          <w:p w14:paraId="6B9A50CA" w14:textId="0CA16F02" w:rsidR="000144E4" w:rsidRPr="00DF679C" w:rsidRDefault="000144E4" w:rsidP="00F2139B">
            <w:pPr>
              <w:spacing w:after="0" w:line="240" w:lineRule="auto"/>
              <w:ind w:right="92"/>
              <w:jc w:val="right"/>
              <w:rPr>
                <w:rFonts w:eastAsia="Times New Roman" w:cs="Times New Roman"/>
                <w:iCs/>
                <w:sz w:val="24"/>
                <w:szCs w:val="24"/>
              </w:rPr>
            </w:pPr>
            <w:r w:rsidRPr="00DF679C">
              <w:rPr>
                <w:rFonts w:eastAsia="Times New Roman" w:cs="Times New Roman"/>
                <w:iCs/>
                <w:sz w:val="24"/>
                <w:szCs w:val="24"/>
              </w:rPr>
              <w:t>507.108,19</w:t>
            </w:r>
          </w:p>
        </w:tc>
      </w:tr>
      <w:tr w:rsidR="00725954" w:rsidRPr="00DF679C" w14:paraId="36967E0C" w14:textId="77777777" w:rsidTr="00C15873">
        <w:trPr>
          <w:gridBefore w:val="1"/>
          <w:gridAfter w:val="1"/>
          <w:wBefore w:w="15" w:type="dxa"/>
          <w:wAfter w:w="1034" w:type="dxa"/>
          <w:trHeight w:val="263"/>
        </w:trPr>
        <w:tc>
          <w:tcPr>
            <w:tcW w:w="3416" w:type="dxa"/>
            <w:vAlign w:val="center"/>
          </w:tcPr>
          <w:p w14:paraId="2677726D" w14:textId="77777777" w:rsidR="00725954" w:rsidRPr="00DF679C" w:rsidRDefault="00725954" w:rsidP="003442D8">
            <w:pPr>
              <w:spacing w:after="0" w:line="240" w:lineRule="auto"/>
              <w:rPr>
                <w:rFonts w:eastAsia="Times New Roman" w:cs="Times New Roman"/>
                <w:iCs/>
                <w:sz w:val="24"/>
                <w:szCs w:val="24"/>
              </w:rPr>
            </w:pPr>
            <w:r w:rsidRPr="00DF679C">
              <w:rPr>
                <w:rFonts w:eastAsia="Times New Roman" w:cs="Times New Roman"/>
                <w:b/>
                <w:iCs/>
                <w:sz w:val="24"/>
                <w:szCs w:val="24"/>
              </w:rPr>
              <w:t>Ukupno dobavljači EU projekta</w:t>
            </w:r>
          </w:p>
        </w:tc>
        <w:tc>
          <w:tcPr>
            <w:tcW w:w="1956" w:type="dxa"/>
            <w:tcBorders>
              <w:top w:val="single" w:sz="4" w:space="0" w:color="auto"/>
              <w:bottom w:val="double" w:sz="4" w:space="0" w:color="auto"/>
            </w:tcBorders>
            <w:vAlign w:val="center"/>
          </w:tcPr>
          <w:p w14:paraId="4F6D7E63" w14:textId="7052EE01" w:rsidR="00725954" w:rsidRPr="00DF679C" w:rsidRDefault="000144E4" w:rsidP="00F2139B">
            <w:pPr>
              <w:spacing w:after="0" w:line="240" w:lineRule="auto"/>
              <w:ind w:right="92"/>
              <w:jc w:val="right"/>
              <w:rPr>
                <w:rFonts w:eastAsia="Times New Roman" w:cs="Times New Roman"/>
                <w:b/>
                <w:iCs/>
                <w:sz w:val="24"/>
                <w:szCs w:val="24"/>
              </w:rPr>
            </w:pPr>
            <w:r w:rsidRPr="00DF679C">
              <w:rPr>
                <w:rFonts w:eastAsia="Times New Roman" w:cs="Times New Roman"/>
                <w:b/>
                <w:iCs/>
                <w:sz w:val="24"/>
                <w:szCs w:val="24"/>
              </w:rPr>
              <w:t>42.268.106,33</w:t>
            </w:r>
          </w:p>
        </w:tc>
      </w:tr>
      <w:tr w:rsidR="00725954" w:rsidRPr="00DF679C" w14:paraId="1EBAEEEE" w14:textId="77777777" w:rsidTr="00C15873">
        <w:trPr>
          <w:gridBefore w:val="1"/>
          <w:gridAfter w:val="1"/>
          <w:wBefore w:w="15" w:type="dxa"/>
          <w:wAfter w:w="1034" w:type="dxa"/>
          <w:trHeight w:val="290"/>
        </w:trPr>
        <w:tc>
          <w:tcPr>
            <w:tcW w:w="3416" w:type="dxa"/>
            <w:vAlign w:val="center"/>
          </w:tcPr>
          <w:p w14:paraId="466E6348" w14:textId="77777777" w:rsidR="00725954" w:rsidRPr="00DF679C" w:rsidRDefault="00725954" w:rsidP="003442D8">
            <w:pPr>
              <w:spacing w:after="0" w:line="240" w:lineRule="auto"/>
              <w:rPr>
                <w:rFonts w:eastAsia="Times New Roman" w:cs="Times New Roman"/>
                <w:iCs/>
                <w:sz w:val="24"/>
                <w:szCs w:val="24"/>
              </w:rPr>
            </w:pPr>
          </w:p>
        </w:tc>
        <w:tc>
          <w:tcPr>
            <w:tcW w:w="1956" w:type="dxa"/>
            <w:tcBorders>
              <w:top w:val="double" w:sz="4" w:space="0" w:color="auto"/>
            </w:tcBorders>
            <w:vAlign w:val="center"/>
          </w:tcPr>
          <w:p w14:paraId="13E3A198" w14:textId="77777777" w:rsidR="00725954" w:rsidRPr="00DF679C" w:rsidRDefault="00725954" w:rsidP="00F2139B">
            <w:pPr>
              <w:spacing w:after="0" w:line="240" w:lineRule="auto"/>
              <w:ind w:right="92"/>
              <w:jc w:val="right"/>
              <w:rPr>
                <w:rFonts w:eastAsia="Times New Roman" w:cs="Times New Roman"/>
                <w:iCs/>
                <w:sz w:val="24"/>
                <w:szCs w:val="24"/>
              </w:rPr>
            </w:pPr>
          </w:p>
        </w:tc>
      </w:tr>
      <w:tr w:rsidR="000144E4" w:rsidRPr="00DF679C" w14:paraId="2CC48F29" w14:textId="77777777" w:rsidTr="00C15873">
        <w:tblPrEx>
          <w:tblLook w:val="04A0" w:firstRow="1" w:lastRow="0" w:firstColumn="1" w:lastColumn="0" w:noHBand="0" w:noVBand="1"/>
        </w:tblPrEx>
        <w:trPr>
          <w:gridAfter w:val="1"/>
          <w:wAfter w:w="1034" w:type="dxa"/>
          <w:trHeight w:val="285"/>
        </w:trPr>
        <w:tc>
          <w:tcPr>
            <w:tcW w:w="3431" w:type="dxa"/>
            <w:gridSpan w:val="2"/>
            <w:shd w:val="clear" w:color="auto" w:fill="auto"/>
            <w:noWrap/>
            <w:vAlign w:val="bottom"/>
            <w:hideMark/>
          </w:tcPr>
          <w:p w14:paraId="0A7682B9" w14:textId="77777777" w:rsidR="000144E4" w:rsidRPr="00DF679C" w:rsidRDefault="000144E4" w:rsidP="00D55A26">
            <w:pPr>
              <w:spacing w:after="0" w:line="240" w:lineRule="auto"/>
              <w:rPr>
                <w:rFonts w:eastAsia="Times New Roman" w:cs="Arial"/>
                <w:sz w:val="24"/>
                <w:szCs w:val="24"/>
                <w:lang w:eastAsia="hr-HR"/>
              </w:rPr>
            </w:pPr>
            <w:r w:rsidRPr="00DF679C">
              <w:rPr>
                <w:rFonts w:eastAsia="Times New Roman" w:cs="Arial"/>
                <w:sz w:val="24"/>
                <w:szCs w:val="24"/>
                <w:lang w:eastAsia="hr-HR"/>
              </w:rPr>
              <w:t>Ponikve usluga d.o.o. Krk</w:t>
            </w:r>
          </w:p>
        </w:tc>
        <w:tc>
          <w:tcPr>
            <w:tcW w:w="1956" w:type="dxa"/>
            <w:shd w:val="clear" w:color="auto" w:fill="auto"/>
            <w:noWrap/>
            <w:vAlign w:val="bottom"/>
            <w:hideMark/>
          </w:tcPr>
          <w:p w14:paraId="7F81AC86" w14:textId="77777777" w:rsidR="000144E4" w:rsidRPr="00DF679C" w:rsidRDefault="000144E4" w:rsidP="00D55A26">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213.240,24</w:t>
            </w:r>
          </w:p>
        </w:tc>
      </w:tr>
      <w:tr w:rsidR="00725954" w:rsidRPr="00DF679C" w14:paraId="7F2C7A59"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hideMark/>
          </w:tcPr>
          <w:p w14:paraId="046CE879" w14:textId="4967CB8F" w:rsidR="00725954" w:rsidRPr="00DF679C" w:rsidRDefault="0013131F" w:rsidP="00217F55">
            <w:pPr>
              <w:spacing w:after="0" w:line="240" w:lineRule="auto"/>
              <w:rPr>
                <w:rFonts w:eastAsia="Times New Roman" w:cs="Arial"/>
                <w:sz w:val="24"/>
                <w:szCs w:val="24"/>
                <w:lang w:eastAsia="hr-HR"/>
              </w:rPr>
            </w:pPr>
            <w:r w:rsidRPr="00DF679C">
              <w:rPr>
                <w:rFonts w:eastAsia="Times New Roman" w:cs="Arial"/>
                <w:sz w:val="24"/>
                <w:szCs w:val="24"/>
                <w:lang w:eastAsia="hr-HR"/>
              </w:rPr>
              <w:t>Ibratech</w:t>
            </w:r>
            <w:r w:rsidR="00725954" w:rsidRPr="00DF679C">
              <w:rPr>
                <w:rFonts w:eastAsia="Times New Roman" w:cs="Arial"/>
                <w:sz w:val="24"/>
                <w:szCs w:val="24"/>
                <w:lang w:eastAsia="hr-HR"/>
              </w:rPr>
              <w:t xml:space="preserve"> d.o.o.</w:t>
            </w:r>
          </w:p>
        </w:tc>
        <w:tc>
          <w:tcPr>
            <w:tcW w:w="1956" w:type="dxa"/>
            <w:shd w:val="clear" w:color="000000" w:fill="FFFFFF"/>
            <w:noWrap/>
            <w:vAlign w:val="bottom"/>
            <w:hideMark/>
          </w:tcPr>
          <w:p w14:paraId="611F0C6C" w14:textId="05F1586D" w:rsidR="00725954" w:rsidRPr="00DF679C" w:rsidRDefault="0013131F" w:rsidP="00A67362">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154.529,15</w:t>
            </w:r>
          </w:p>
        </w:tc>
      </w:tr>
      <w:tr w:rsidR="00725954" w:rsidRPr="00DF679C" w14:paraId="5C59C64C"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hideMark/>
          </w:tcPr>
          <w:p w14:paraId="685EB6D8" w14:textId="44C28B85" w:rsidR="00725954" w:rsidRPr="00DF679C" w:rsidRDefault="000144E4" w:rsidP="00217F55">
            <w:pPr>
              <w:spacing w:after="0" w:line="240" w:lineRule="auto"/>
              <w:rPr>
                <w:rFonts w:eastAsia="Times New Roman" w:cs="Arial"/>
                <w:sz w:val="24"/>
                <w:szCs w:val="24"/>
                <w:lang w:eastAsia="hr-HR"/>
              </w:rPr>
            </w:pPr>
            <w:r w:rsidRPr="00DF679C">
              <w:rPr>
                <w:rFonts w:eastAsia="Times New Roman" w:cs="Arial"/>
                <w:sz w:val="24"/>
                <w:szCs w:val="24"/>
                <w:lang w:eastAsia="hr-HR"/>
              </w:rPr>
              <w:t>Privredna banka Zagreb d.d.</w:t>
            </w:r>
          </w:p>
        </w:tc>
        <w:tc>
          <w:tcPr>
            <w:tcW w:w="1956" w:type="dxa"/>
            <w:shd w:val="clear" w:color="000000" w:fill="FFFFFF"/>
            <w:noWrap/>
            <w:vAlign w:val="bottom"/>
            <w:hideMark/>
          </w:tcPr>
          <w:p w14:paraId="149968E5" w14:textId="1677AA53" w:rsidR="00725954" w:rsidRPr="00DF679C" w:rsidRDefault="000144E4" w:rsidP="00A67362">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123.309,11</w:t>
            </w:r>
          </w:p>
        </w:tc>
      </w:tr>
      <w:tr w:rsidR="000144E4" w:rsidRPr="00DF679C" w14:paraId="72B40B87"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tcPr>
          <w:p w14:paraId="2E929698" w14:textId="77777777" w:rsidR="000144E4" w:rsidRPr="00DF679C" w:rsidRDefault="000144E4" w:rsidP="00D55A26">
            <w:pPr>
              <w:spacing w:after="0" w:line="240" w:lineRule="auto"/>
              <w:rPr>
                <w:rFonts w:eastAsia="Times New Roman" w:cs="Arial"/>
                <w:sz w:val="24"/>
                <w:szCs w:val="24"/>
                <w:lang w:eastAsia="hr-HR"/>
              </w:rPr>
            </w:pPr>
            <w:r w:rsidRPr="00DF679C">
              <w:rPr>
                <w:rFonts w:eastAsia="Times New Roman" w:cs="Arial"/>
                <w:sz w:val="24"/>
                <w:szCs w:val="24"/>
                <w:lang w:eastAsia="hr-HR"/>
              </w:rPr>
              <w:t>Građevinar d.o.o.</w:t>
            </w:r>
          </w:p>
        </w:tc>
        <w:tc>
          <w:tcPr>
            <w:tcW w:w="1956" w:type="dxa"/>
            <w:shd w:val="clear" w:color="000000" w:fill="FFFFFF"/>
            <w:noWrap/>
            <w:vAlign w:val="bottom"/>
          </w:tcPr>
          <w:p w14:paraId="48A8117F" w14:textId="77777777" w:rsidR="000144E4" w:rsidRPr="00DF679C" w:rsidRDefault="000144E4" w:rsidP="00D55A26">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95.984,45</w:t>
            </w:r>
          </w:p>
        </w:tc>
      </w:tr>
      <w:tr w:rsidR="000144E4" w:rsidRPr="00DF679C" w14:paraId="6FF03A01"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tcPr>
          <w:p w14:paraId="26F9A00F" w14:textId="77777777" w:rsidR="000144E4" w:rsidRPr="00DF679C" w:rsidRDefault="000144E4" w:rsidP="00D55A26">
            <w:pPr>
              <w:spacing w:after="0" w:line="240" w:lineRule="auto"/>
              <w:rPr>
                <w:rFonts w:eastAsia="Times New Roman" w:cs="Arial"/>
                <w:sz w:val="24"/>
                <w:szCs w:val="24"/>
                <w:lang w:eastAsia="hr-HR"/>
              </w:rPr>
            </w:pPr>
            <w:r w:rsidRPr="00DF679C">
              <w:rPr>
                <w:rFonts w:eastAsia="Times New Roman" w:cs="Arial"/>
                <w:sz w:val="24"/>
                <w:szCs w:val="24"/>
                <w:lang w:eastAsia="hr-HR"/>
              </w:rPr>
              <w:t>Teleg-m d.o.o.</w:t>
            </w:r>
          </w:p>
        </w:tc>
        <w:tc>
          <w:tcPr>
            <w:tcW w:w="1956" w:type="dxa"/>
            <w:shd w:val="clear" w:color="000000" w:fill="FFFFFF"/>
            <w:noWrap/>
            <w:vAlign w:val="bottom"/>
          </w:tcPr>
          <w:p w14:paraId="517E28CE" w14:textId="77777777" w:rsidR="000144E4" w:rsidRPr="00DF679C" w:rsidRDefault="000144E4" w:rsidP="00D55A26">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95.837,95</w:t>
            </w:r>
          </w:p>
        </w:tc>
      </w:tr>
      <w:tr w:rsidR="000144E4" w:rsidRPr="00DF679C" w14:paraId="046D430B"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tcPr>
          <w:p w14:paraId="71FD20DB" w14:textId="77777777" w:rsidR="000144E4" w:rsidRPr="00DF679C" w:rsidRDefault="000144E4" w:rsidP="00D55A26">
            <w:pPr>
              <w:spacing w:after="0" w:line="240" w:lineRule="auto"/>
              <w:rPr>
                <w:rFonts w:eastAsia="Times New Roman" w:cs="Arial"/>
                <w:sz w:val="24"/>
                <w:szCs w:val="24"/>
                <w:lang w:eastAsia="hr-HR"/>
              </w:rPr>
            </w:pPr>
            <w:r w:rsidRPr="00DF679C">
              <w:rPr>
                <w:rFonts w:eastAsia="Times New Roman" w:cs="Arial"/>
                <w:sz w:val="24"/>
                <w:szCs w:val="24"/>
                <w:lang w:eastAsia="hr-HR"/>
              </w:rPr>
              <w:t>Petrol d.o.o.</w:t>
            </w:r>
          </w:p>
        </w:tc>
        <w:tc>
          <w:tcPr>
            <w:tcW w:w="1956" w:type="dxa"/>
            <w:shd w:val="clear" w:color="000000" w:fill="FFFFFF"/>
            <w:noWrap/>
            <w:vAlign w:val="bottom"/>
          </w:tcPr>
          <w:p w14:paraId="16E25896" w14:textId="77777777" w:rsidR="000144E4" w:rsidRPr="00DF679C" w:rsidRDefault="000144E4" w:rsidP="00D55A26">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92.041,44</w:t>
            </w:r>
          </w:p>
        </w:tc>
      </w:tr>
      <w:tr w:rsidR="00725954" w:rsidRPr="00DF679C" w14:paraId="686E31B4"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hideMark/>
          </w:tcPr>
          <w:p w14:paraId="7B1938C8" w14:textId="67F5E6F6" w:rsidR="00725954" w:rsidRPr="00DF679C" w:rsidRDefault="000144E4" w:rsidP="00217F55">
            <w:pPr>
              <w:spacing w:after="0" w:line="240" w:lineRule="auto"/>
              <w:rPr>
                <w:rFonts w:eastAsia="Times New Roman" w:cs="Arial"/>
                <w:sz w:val="24"/>
                <w:szCs w:val="24"/>
                <w:lang w:eastAsia="hr-HR"/>
              </w:rPr>
            </w:pPr>
            <w:r w:rsidRPr="00DF679C">
              <w:rPr>
                <w:rFonts w:eastAsia="Times New Roman" w:cs="Arial"/>
                <w:sz w:val="24"/>
                <w:szCs w:val="24"/>
                <w:lang w:eastAsia="hr-HR"/>
              </w:rPr>
              <w:t>HBOR</w:t>
            </w:r>
          </w:p>
        </w:tc>
        <w:tc>
          <w:tcPr>
            <w:tcW w:w="1956" w:type="dxa"/>
            <w:shd w:val="clear" w:color="000000" w:fill="FFFFFF"/>
            <w:noWrap/>
            <w:vAlign w:val="bottom"/>
            <w:hideMark/>
          </w:tcPr>
          <w:p w14:paraId="11A4556F" w14:textId="72C76F86" w:rsidR="000144E4" w:rsidRPr="00DF679C" w:rsidRDefault="000144E4" w:rsidP="000144E4">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91.179,22</w:t>
            </w:r>
          </w:p>
        </w:tc>
      </w:tr>
      <w:tr w:rsidR="00725954" w:rsidRPr="00DF679C" w14:paraId="0E1AE7EA"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hideMark/>
          </w:tcPr>
          <w:p w14:paraId="6FC251F8" w14:textId="77777777" w:rsidR="00725954" w:rsidRPr="00DF679C" w:rsidRDefault="00725954" w:rsidP="00217F55">
            <w:pPr>
              <w:spacing w:after="0" w:line="240" w:lineRule="auto"/>
              <w:rPr>
                <w:rFonts w:eastAsia="Times New Roman" w:cs="Arial"/>
                <w:color w:val="000000"/>
                <w:sz w:val="24"/>
                <w:szCs w:val="24"/>
                <w:lang w:eastAsia="hr-HR"/>
              </w:rPr>
            </w:pPr>
            <w:r w:rsidRPr="00DF679C">
              <w:rPr>
                <w:rFonts w:eastAsia="Times New Roman" w:cs="Arial"/>
                <w:color w:val="000000"/>
                <w:sz w:val="24"/>
                <w:szCs w:val="24"/>
                <w:lang w:eastAsia="hr-HR"/>
              </w:rPr>
              <w:t xml:space="preserve">INA Industrija nafte </w:t>
            </w:r>
          </w:p>
        </w:tc>
        <w:tc>
          <w:tcPr>
            <w:tcW w:w="1956" w:type="dxa"/>
            <w:tcBorders>
              <w:bottom w:val="single" w:sz="4" w:space="0" w:color="auto"/>
            </w:tcBorders>
            <w:shd w:val="clear" w:color="000000" w:fill="FFFFFF"/>
            <w:noWrap/>
            <w:vAlign w:val="bottom"/>
            <w:hideMark/>
          </w:tcPr>
          <w:p w14:paraId="0CCF7728" w14:textId="31DBA321" w:rsidR="00725954" w:rsidRPr="00DF679C" w:rsidRDefault="000144E4" w:rsidP="00A67362">
            <w:pPr>
              <w:spacing w:after="0" w:line="240" w:lineRule="auto"/>
              <w:jc w:val="right"/>
              <w:rPr>
                <w:rFonts w:eastAsia="Times New Roman" w:cs="Arial"/>
                <w:color w:val="000000"/>
                <w:sz w:val="24"/>
                <w:szCs w:val="24"/>
                <w:lang w:eastAsia="hr-HR"/>
              </w:rPr>
            </w:pPr>
            <w:r w:rsidRPr="00DF679C">
              <w:rPr>
                <w:rFonts w:eastAsia="Times New Roman" w:cs="Arial"/>
                <w:color w:val="000000"/>
                <w:sz w:val="24"/>
                <w:szCs w:val="24"/>
                <w:lang w:eastAsia="hr-HR"/>
              </w:rPr>
              <w:t>79.675,55</w:t>
            </w:r>
          </w:p>
        </w:tc>
      </w:tr>
      <w:tr w:rsidR="00725954" w:rsidRPr="00DF679C" w14:paraId="363E1EDA" w14:textId="77777777" w:rsidTr="00C15873">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bottom"/>
          </w:tcPr>
          <w:p w14:paraId="393FC031" w14:textId="77777777" w:rsidR="00725954" w:rsidRPr="00DF679C" w:rsidRDefault="00725954" w:rsidP="00217F55">
            <w:pPr>
              <w:spacing w:after="0" w:line="240" w:lineRule="auto"/>
              <w:rPr>
                <w:rFonts w:eastAsia="Times New Roman" w:cs="Arial"/>
                <w:color w:val="000000"/>
                <w:sz w:val="24"/>
                <w:szCs w:val="24"/>
                <w:lang w:eastAsia="hr-HR"/>
              </w:rPr>
            </w:pPr>
            <w:r w:rsidRPr="00DF679C">
              <w:rPr>
                <w:rFonts w:eastAsia="Times New Roman" w:cs="Times New Roman"/>
                <w:b/>
                <w:iCs/>
                <w:sz w:val="24"/>
                <w:szCs w:val="24"/>
              </w:rPr>
              <w:t>Ukupno ostali dobavljači</w:t>
            </w:r>
          </w:p>
        </w:tc>
        <w:tc>
          <w:tcPr>
            <w:tcW w:w="1956" w:type="dxa"/>
            <w:tcBorders>
              <w:top w:val="single" w:sz="4" w:space="0" w:color="auto"/>
              <w:bottom w:val="double" w:sz="4" w:space="0" w:color="auto"/>
            </w:tcBorders>
            <w:shd w:val="clear" w:color="000000" w:fill="FFFFFF"/>
            <w:noWrap/>
            <w:vAlign w:val="bottom"/>
          </w:tcPr>
          <w:p w14:paraId="5DBCFCE1" w14:textId="3DF6C9FD" w:rsidR="00725954" w:rsidRPr="00DF679C" w:rsidRDefault="001437E1" w:rsidP="00A67362">
            <w:pPr>
              <w:spacing w:after="0" w:line="240" w:lineRule="auto"/>
              <w:jc w:val="right"/>
              <w:rPr>
                <w:rFonts w:eastAsia="Times New Roman" w:cs="Arial"/>
                <w:b/>
                <w:color w:val="000000"/>
                <w:sz w:val="24"/>
                <w:szCs w:val="24"/>
                <w:lang w:eastAsia="hr-HR"/>
              </w:rPr>
            </w:pPr>
            <w:r w:rsidRPr="00DF679C">
              <w:rPr>
                <w:rFonts w:eastAsia="Times New Roman" w:cs="Arial"/>
                <w:b/>
                <w:sz w:val="24"/>
                <w:szCs w:val="24"/>
                <w:lang w:eastAsia="hr-HR"/>
              </w:rPr>
              <w:t>945.797,11</w:t>
            </w:r>
          </w:p>
        </w:tc>
      </w:tr>
      <w:tr w:rsidR="00725954" w:rsidRPr="00DF679C" w14:paraId="341F4DCD" w14:textId="77777777" w:rsidTr="00F2139B">
        <w:tblPrEx>
          <w:tblLook w:val="04A0" w:firstRow="1" w:lastRow="0" w:firstColumn="1" w:lastColumn="0" w:noHBand="0" w:noVBand="1"/>
        </w:tblPrEx>
        <w:trPr>
          <w:gridAfter w:val="1"/>
          <w:wAfter w:w="1034" w:type="dxa"/>
          <w:trHeight w:val="285"/>
        </w:trPr>
        <w:tc>
          <w:tcPr>
            <w:tcW w:w="3431" w:type="dxa"/>
            <w:gridSpan w:val="2"/>
            <w:shd w:val="clear" w:color="000000" w:fill="FFFFFF"/>
            <w:noWrap/>
            <w:vAlign w:val="center"/>
          </w:tcPr>
          <w:p w14:paraId="10891239" w14:textId="77777777" w:rsidR="00725954" w:rsidRPr="00DF679C" w:rsidRDefault="00725954" w:rsidP="00217F55">
            <w:pPr>
              <w:spacing w:after="0" w:line="240" w:lineRule="auto"/>
              <w:rPr>
                <w:rFonts w:eastAsia="Times New Roman" w:cs="Arial"/>
                <w:color w:val="000000"/>
                <w:sz w:val="24"/>
                <w:szCs w:val="24"/>
                <w:lang w:eastAsia="hr-HR"/>
              </w:rPr>
            </w:pPr>
            <w:r w:rsidRPr="00DF679C">
              <w:rPr>
                <w:rFonts w:eastAsia="Times New Roman" w:cs="Times New Roman"/>
                <w:b/>
                <w:bCs/>
                <w:iCs/>
                <w:sz w:val="24"/>
                <w:szCs w:val="24"/>
              </w:rPr>
              <w:t>SVEUKUPNO</w:t>
            </w:r>
          </w:p>
        </w:tc>
        <w:tc>
          <w:tcPr>
            <w:tcW w:w="1956" w:type="dxa"/>
            <w:tcBorders>
              <w:top w:val="double" w:sz="4" w:space="0" w:color="auto"/>
              <w:bottom w:val="double" w:sz="4" w:space="0" w:color="auto"/>
            </w:tcBorders>
            <w:shd w:val="clear" w:color="000000" w:fill="FFFFFF"/>
            <w:noWrap/>
            <w:vAlign w:val="center"/>
          </w:tcPr>
          <w:p w14:paraId="758CC2EF" w14:textId="0BEB2342" w:rsidR="00725954" w:rsidRPr="00DF679C" w:rsidRDefault="001437E1" w:rsidP="00A67362">
            <w:pPr>
              <w:spacing w:after="0" w:line="240" w:lineRule="auto"/>
              <w:jc w:val="right"/>
              <w:rPr>
                <w:rFonts w:eastAsia="Times New Roman" w:cs="Arial"/>
                <w:color w:val="000000"/>
                <w:sz w:val="24"/>
                <w:szCs w:val="24"/>
                <w:lang w:eastAsia="hr-HR"/>
              </w:rPr>
            </w:pPr>
            <w:r w:rsidRPr="00DF679C">
              <w:rPr>
                <w:rFonts w:eastAsia="Times New Roman" w:cs="Times New Roman"/>
                <w:b/>
                <w:iCs/>
                <w:sz w:val="24"/>
                <w:szCs w:val="24"/>
              </w:rPr>
              <w:t>43.213.903,44</w:t>
            </w:r>
          </w:p>
        </w:tc>
      </w:tr>
    </w:tbl>
    <w:p w14:paraId="724330C2" w14:textId="1F54D2C7" w:rsidR="004641A9" w:rsidRDefault="004641A9" w:rsidP="003442D8">
      <w:pPr>
        <w:spacing w:after="0" w:line="240" w:lineRule="auto"/>
        <w:jc w:val="both"/>
        <w:rPr>
          <w:rFonts w:ascii="Calibri" w:eastAsia="Times New Roman" w:hAnsi="Calibri" w:cs="Times New Roman"/>
          <w:b/>
          <w:iCs/>
          <w:sz w:val="24"/>
          <w:szCs w:val="24"/>
        </w:rPr>
      </w:pPr>
    </w:p>
    <w:p w14:paraId="1426EECB" w14:textId="77777777" w:rsidR="004641A9" w:rsidRPr="00DF679C" w:rsidRDefault="004641A9" w:rsidP="003442D8">
      <w:pPr>
        <w:spacing w:after="0" w:line="240" w:lineRule="auto"/>
        <w:jc w:val="both"/>
        <w:rPr>
          <w:rFonts w:ascii="Calibri" w:eastAsia="Times New Roman" w:hAnsi="Calibri" w:cs="Times New Roman"/>
          <w:b/>
          <w:iCs/>
          <w:sz w:val="24"/>
          <w:szCs w:val="24"/>
        </w:rPr>
      </w:pPr>
    </w:p>
    <w:p w14:paraId="7233C23D" w14:textId="042952E8" w:rsidR="003442D8" w:rsidRPr="00DF679C" w:rsidRDefault="003442D8" w:rsidP="003442D8">
      <w:pPr>
        <w:spacing w:after="0" w:line="240" w:lineRule="auto"/>
        <w:jc w:val="both"/>
        <w:rPr>
          <w:rFonts w:ascii="Calibri" w:eastAsia="Times New Roman" w:hAnsi="Calibri" w:cs="Times New Roman"/>
          <w:sz w:val="24"/>
          <w:szCs w:val="24"/>
        </w:rPr>
      </w:pPr>
      <w:r w:rsidRPr="00DF679C">
        <w:rPr>
          <w:rFonts w:ascii="Calibri" w:eastAsia="Times New Roman" w:hAnsi="Calibri" w:cs="Times New Roman"/>
          <w:b/>
          <w:iCs/>
          <w:sz w:val="24"/>
          <w:szCs w:val="24"/>
        </w:rPr>
        <w:t>/i/</w:t>
      </w:r>
      <w:r w:rsidRPr="00DF679C">
        <w:rPr>
          <w:rFonts w:ascii="Calibri" w:eastAsia="Times New Roman" w:hAnsi="Calibri" w:cs="Times New Roman"/>
          <w:iCs/>
          <w:sz w:val="24"/>
          <w:szCs w:val="24"/>
        </w:rPr>
        <w:tab/>
        <w:t xml:space="preserve">Do dana pisanja Bilješki Društvo je podmirilo obveze prema dobavljačima, osim dijela obveze prema Gorenjskoj gradbenoj družbi </w:t>
      </w:r>
      <w:r w:rsidR="002E4EF3" w:rsidRPr="00DF679C">
        <w:rPr>
          <w:rFonts w:ascii="Calibri" w:eastAsia="Times New Roman" w:hAnsi="Calibri" w:cs="Times New Roman"/>
          <w:iCs/>
          <w:sz w:val="24"/>
          <w:szCs w:val="24"/>
        </w:rPr>
        <w:t xml:space="preserve">d.d. </w:t>
      </w:r>
      <w:r w:rsidRPr="00DF679C">
        <w:rPr>
          <w:rFonts w:ascii="Calibri" w:eastAsia="Times New Roman" w:hAnsi="Calibri" w:cs="Times New Roman"/>
          <w:iCs/>
          <w:sz w:val="24"/>
          <w:szCs w:val="24"/>
        </w:rPr>
        <w:t xml:space="preserve">u iznosu od </w:t>
      </w:r>
      <w:r w:rsidR="001437E1" w:rsidRPr="00DF679C">
        <w:rPr>
          <w:rFonts w:ascii="Calibri" w:eastAsia="Times New Roman" w:hAnsi="Calibri" w:cs="Times New Roman"/>
          <w:iCs/>
          <w:sz w:val="24"/>
          <w:szCs w:val="24"/>
        </w:rPr>
        <w:t>22.913.373,42</w:t>
      </w:r>
      <w:r w:rsidR="00725954" w:rsidRPr="00DF679C">
        <w:rPr>
          <w:rFonts w:ascii="Calibri" w:eastAsia="Times New Roman" w:hAnsi="Calibri" w:cs="Times New Roman"/>
          <w:iCs/>
          <w:sz w:val="24"/>
          <w:szCs w:val="24"/>
        </w:rPr>
        <w:t xml:space="preserve"> </w:t>
      </w:r>
      <w:r w:rsidRPr="00DF679C">
        <w:rPr>
          <w:rFonts w:ascii="Calibri" w:eastAsia="Times New Roman" w:hAnsi="Calibri" w:cs="Times New Roman"/>
          <w:iCs/>
          <w:sz w:val="24"/>
          <w:szCs w:val="24"/>
        </w:rPr>
        <w:t>kn, a koja se odnosi na ugovorenu sustegu.</w:t>
      </w:r>
    </w:p>
    <w:p w14:paraId="55F73A06" w14:textId="6879CDF1" w:rsidR="00C15FEB" w:rsidRDefault="00C15FEB" w:rsidP="003442D8">
      <w:pPr>
        <w:spacing w:after="0" w:line="240" w:lineRule="auto"/>
        <w:ind w:right="92"/>
        <w:jc w:val="both"/>
        <w:rPr>
          <w:rFonts w:ascii="Calibri" w:eastAsia="Times New Roman" w:hAnsi="Calibri" w:cs="Times New Roman"/>
          <w:sz w:val="24"/>
          <w:szCs w:val="24"/>
        </w:rPr>
      </w:pPr>
    </w:p>
    <w:p w14:paraId="23DE8C91" w14:textId="77777777" w:rsidR="00A3414A" w:rsidRPr="00DF679C" w:rsidRDefault="00A3414A" w:rsidP="003442D8">
      <w:pPr>
        <w:spacing w:after="0" w:line="240" w:lineRule="auto"/>
        <w:ind w:right="92"/>
        <w:jc w:val="both"/>
        <w:rPr>
          <w:rFonts w:ascii="Calibri" w:eastAsia="Times New Roman" w:hAnsi="Calibri" w:cs="Times New Roman"/>
          <w:sz w:val="24"/>
          <w:szCs w:val="24"/>
        </w:rPr>
      </w:pPr>
    </w:p>
    <w:p w14:paraId="0879D1A6"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OBVEZE PREMA ZAPOSLENICIMA</w:t>
      </w:r>
    </w:p>
    <w:p w14:paraId="446C7C23"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10E31259" w14:textId="25BADA3A"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Obveze prema zaposlenicima u iznosu od </w:t>
      </w:r>
      <w:r w:rsidR="00552FE3" w:rsidRPr="00DF679C">
        <w:rPr>
          <w:rFonts w:ascii="Calibri" w:eastAsia="Times New Roman" w:hAnsi="Calibri" w:cs="Times New Roman"/>
          <w:iCs/>
          <w:sz w:val="24"/>
          <w:szCs w:val="24"/>
        </w:rPr>
        <w:t>676.032,21</w:t>
      </w:r>
      <w:r w:rsidRPr="00DF679C">
        <w:rPr>
          <w:rFonts w:ascii="Calibri" w:eastAsia="Times New Roman" w:hAnsi="Calibri" w:cs="Times New Roman"/>
          <w:iCs/>
          <w:sz w:val="24"/>
          <w:szCs w:val="24"/>
        </w:rPr>
        <w:t xml:space="preserve"> kn odnose se na obveze za obračunatu plaću </w:t>
      </w:r>
      <w:r w:rsidR="00725954" w:rsidRPr="00DF679C">
        <w:rPr>
          <w:rFonts w:ascii="Calibri" w:eastAsia="Times New Roman" w:hAnsi="Calibri" w:cs="Times New Roman"/>
          <w:iCs/>
          <w:sz w:val="24"/>
          <w:szCs w:val="24"/>
        </w:rPr>
        <w:t>i naknade plaća za prosinac 20</w:t>
      </w:r>
      <w:r w:rsidR="00552FE3"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xml:space="preserve">. godine, a </w:t>
      </w:r>
      <w:r w:rsidR="00725954" w:rsidRPr="00DF679C">
        <w:rPr>
          <w:rFonts w:ascii="Calibri" w:eastAsia="Times New Roman" w:hAnsi="Calibri" w:cs="Times New Roman"/>
          <w:iCs/>
          <w:sz w:val="24"/>
          <w:szCs w:val="24"/>
        </w:rPr>
        <w:t>što je isplaćeno u siječnju 202</w:t>
      </w:r>
      <w:r w:rsidR="00552FE3" w:rsidRPr="00DF679C">
        <w:rPr>
          <w:rFonts w:ascii="Calibri" w:eastAsia="Times New Roman" w:hAnsi="Calibri" w:cs="Times New Roman"/>
          <w:iCs/>
          <w:sz w:val="24"/>
          <w:szCs w:val="24"/>
        </w:rPr>
        <w:t>1</w:t>
      </w:r>
      <w:r w:rsidRPr="00DF679C">
        <w:rPr>
          <w:rFonts w:ascii="Calibri" w:eastAsia="Times New Roman" w:hAnsi="Calibri" w:cs="Times New Roman"/>
          <w:iCs/>
          <w:sz w:val="24"/>
          <w:szCs w:val="24"/>
        </w:rPr>
        <w:t>. godine.</w:t>
      </w:r>
    </w:p>
    <w:p w14:paraId="7243ACAE"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294492F0" w14:textId="77777777" w:rsidR="00C15FEB" w:rsidRPr="00DF679C" w:rsidRDefault="00C15FEB" w:rsidP="003442D8">
      <w:pPr>
        <w:spacing w:after="0" w:line="240" w:lineRule="auto"/>
        <w:ind w:right="92"/>
        <w:jc w:val="both"/>
        <w:rPr>
          <w:rFonts w:ascii="Calibri" w:eastAsia="Times New Roman" w:hAnsi="Calibri" w:cs="Times New Roman"/>
          <w:iCs/>
          <w:sz w:val="24"/>
          <w:szCs w:val="24"/>
        </w:rPr>
      </w:pPr>
    </w:p>
    <w:p w14:paraId="46C5C140"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OBVEZE ZA POREZE, DOPRINOSE I SLIČNA DAVANJA</w:t>
      </w:r>
    </w:p>
    <w:p w14:paraId="2B9399B4"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587C65FB" w14:textId="6A9DF47E"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Ove obveze na dan 31. prosinca 20</w:t>
      </w:r>
      <w:r w:rsidR="00552FE3"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xml:space="preserve">. godine iznose </w:t>
      </w:r>
      <w:r w:rsidR="00552FE3" w:rsidRPr="00DF679C">
        <w:rPr>
          <w:rFonts w:ascii="Calibri" w:eastAsia="Times New Roman" w:hAnsi="Calibri" w:cs="Times New Roman"/>
          <w:iCs/>
          <w:sz w:val="24"/>
          <w:szCs w:val="24"/>
        </w:rPr>
        <w:t>5</w:t>
      </w:r>
      <w:r w:rsidR="003374E3" w:rsidRPr="00DF679C">
        <w:rPr>
          <w:rFonts w:ascii="Calibri" w:eastAsia="Times New Roman" w:hAnsi="Calibri" w:cs="Times New Roman"/>
          <w:iCs/>
          <w:sz w:val="24"/>
          <w:szCs w:val="24"/>
        </w:rPr>
        <w:t>8</w:t>
      </w:r>
      <w:r w:rsidR="00552FE3" w:rsidRPr="00DF679C">
        <w:rPr>
          <w:rFonts w:ascii="Calibri" w:eastAsia="Times New Roman" w:hAnsi="Calibri" w:cs="Times New Roman"/>
          <w:iCs/>
          <w:sz w:val="24"/>
          <w:szCs w:val="24"/>
        </w:rPr>
        <w:t>3.</w:t>
      </w:r>
      <w:r w:rsidR="003374E3" w:rsidRPr="00DF679C">
        <w:rPr>
          <w:rFonts w:ascii="Calibri" w:eastAsia="Times New Roman" w:hAnsi="Calibri" w:cs="Times New Roman"/>
          <w:iCs/>
          <w:sz w:val="24"/>
          <w:szCs w:val="24"/>
        </w:rPr>
        <w:t>028,76</w:t>
      </w:r>
      <w:r w:rsidRPr="00DF679C">
        <w:rPr>
          <w:rFonts w:ascii="Calibri" w:eastAsia="Times New Roman" w:hAnsi="Calibri" w:cs="Times New Roman"/>
          <w:iCs/>
          <w:sz w:val="24"/>
          <w:szCs w:val="24"/>
        </w:rPr>
        <w:t xml:space="preserve"> kn, a odnose se na  doprinose na plaću (</w:t>
      </w:r>
      <w:r w:rsidR="00FB550E" w:rsidRPr="00DF679C">
        <w:rPr>
          <w:rFonts w:ascii="Calibri" w:eastAsia="Times New Roman" w:hAnsi="Calibri" w:cs="Times New Roman"/>
          <w:iCs/>
          <w:sz w:val="24"/>
          <w:szCs w:val="24"/>
        </w:rPr>
        <w:t>126.517,54</w:t>
      </w:r>
      <w:r w:rsidRPr="00DF679C">
        <w:rPr>
          <w:rFonts w:ascii="Calibri" w:eastAsia="Times New Roman" w:hAnsi="Calibri" w:cs="Times New Roman"/>
          <w:iCs/>
          <w:sz w:val="24"/>
          <w:szCs w:val="24"/>
        </w:rPr>
        <w:t xml:space="preserve"> kn), doprinose iz plaće (</w:t>
      </w:r>
      <w:r w:rsidR="00725954" w:rsidRPr="00DF679C">
        <w:rPr>
          <w:rFonts w:ascii="Calibri" w:eastAsia="Times New Roman" w:hAnsi="Calibri" w:cs="Times New Roman"/>
          <w:iCs/>
          <w:sz w:val="24"/>
          <w:szCs w:val="24"/>
        </w:rPr>
        <w:t>1</w:t>
      </w:r>
      <w:r w:rsidR="00FB550E" w:rsidRPr="00DF679C">
        <w:rPr>
          <w:rFonts w:ascii="Calibri" w:eastAsia="Times New Roman" w:hAnsi="Calibri" w:cs="Times New Roman"/>
          <w:iCs/>
          <w:sz w:val="24"/>
          <w:szCs w:val="24"/>
        </w:rPr>
        <w:t>75</w:t>
      </w:r>
      <w:r w:rsidR="00725954" w:rsidRPr="00DF679C">
        <w:rPr>
          <w:rFonts w:ascii="Calibri" w:eastAsia="Times New Roman" w:hAnsi="Calibri" w:cs="Times New Roman"/>
          <w:iCs/>
          <w:sz w:val="24"/>
          <w:szCs w:val="24"/>
        </w:rPr>
        <w:t>.</w:t>
      </w:r>
      <w:r w:rsidR="00FB550E" w:rsidRPr="00DF679C">
        <w:rPr>
          <w:rFonts w:ascii="Calibri" w:eastAsia="Times New Roman" w:hAnsi="Calibri" w:cs="Times New Roman"/>
          <w:iCs/>
          <w:sz w:val="24"/>
          <w:szCs w:val="24"/>
        </w:rPr>
        <w:t>871,28</w:t>
      </w:r>
      <w:r w:rsidRPr="00DF679C">
        <w:rPr>
          <w:rFonts w:ascii="Calibri" w:eastAsia="Times New Roman" w:hAnsi="Calibri" w:cs="Times New Roman"/>
          <w:iCs/>
          <w:sz w:val="24"/>
          <w:szCs w:val="24"/>
        </w:rPr>
        <w:t xml:space="preserve"> kn), porez i prirez iz plaće (</w:t>
      </w:r>
      <w:r w:rsidR="00FB550E" w:rsidRPr="00DF679C">
        <w:rPr>
          <w:rFonts w:ascii="Calibri" w:eastAsia="Times New Roman" w:hAnsi="Calibri" w:cs="Times New Roman"/>
          <w:iCs/>
          <w:sz w:val="24"/>
          <w:szCs w:val="24"/>
        </w:rPr>
        <w:t>51</w:t>
      </w:r>
      <w:r w:rsidR="00725954" w:rsidRPr="00DF679C">
        <w:rPr>
          <w:rFonts w:ascii="Calibri" w:eastAsia="Times New Roman" w:hAnsi="Calibri" w:cs="Times New Roman"/>
          <w:iCs/>
          <w:sz w:val="24"/>
          <w:szCs w:val="24"/>
        </w:rPr>
        <w:t>.</w:t>
      </w:r>
      <w:r w:rsidR="00FB550E" w:rsidRPr="00DF679C">
        <w:rPr>
          <w:rFonts w:ascii="Calibri" w:eastAsia="Times New Roman" w:hAnsi="Calibri" w:cs="Times New Roman"/>
          <w:iCs/>
          <w:sz w:val="24"/>
          <w:szCs w:val="24"/>
        </w:rPr>
        <w:t>341,49k</w:t>
      </w:r>
      <w:r w:rsidRPr="00DF679C">
        <w:rPr>
          <w:rFonts w:ascii="Calibri" w:eastAsia="Times New Roman" w:hAnsi="Calibri" w:cs="Times New Roman"/>
          <w:iCs/>
          <w:sz w:val="24"/>
          <w:szCs w:val="24"/>
        </w:rPr>
        <w:t>n), koncesijske naknade (</w:t>
      </w:r>
      <w:r w:rsidR="00BA18A5" w:rsidRPr="00DF679C">
        <w:rPr>
          <w:rFonts w:ascii="Calibri" w:eastAsia="Times New Roman" w:hAnsi="Calibri" w:cs="Times New Roman"/>
          <w:iCs/>
          <w:sz w:val="24"/>
          <w:szCs w:val="24"/>
        </w:rPr>
        <w:t>69.997,57</w:t>
      </w:r>
      <w:r w:rsidRPr="00DF679C">
        <w:rPr>
          <w:rFonts w:ascii="Calibri" w:eastAsia="Times New Roman" w:hAnsi="Calibri" w:cs="Times New Roman"/>
          <w:iCs/>
          <w:sz w:val="24"/>
          <w:szCs w:val="24"/>
        </w:rPr>
        <w:t xml:space="preserve"> kn), doprinos za šume (</w:t>
      </w:r>
      <w:r w:rsidR="00FB550E" w:rsidRPr="00DF679C">
        <w:rPr>
          <w:rFonts w:ascii="Calibri" w:eastAsia="Times New Roman" w:hAnsi="Calibri" w:cs="Times New Roman"/>
          <w:iCs/>
          <w:sz w:val="24"/>
          <w:szCs w:val="24"/>
        </w:rPr>
        <w:t>2.706,23</w:t>
      </w:r>
      <w:r w:rsidRPr="00DF679C">
        <w:rPr>
          <w:rFonts w:ascii="Calibri" w:eastAsia="Times New Roman" w:hAnsi="Calibri" w:cs="Times New Roman"/>
          <w:iCs/>
          <w:sz w:val="24"/>
          <w:szCs w:val="24"/>
        </w:rPr>
        <w:t xml:space="preserve"> kn), </w:t>
      </w:r>
      <w:r w:rsidR="003374E3" w:rsidRPr="00DF679C">
        <w:rPr>
          <w:rFonts w:ascii="Calibri" w:eastAsia="Times New Roman" w:hAnsi="Calibri" w:cs="Times New Roman"/>
          <w:iCs/>
          <w:sz w:val="24"/>
          <w:szCs w:val="24"/>
        </w:rPr>
        <w:t xml:space="preserve">naknada zbog neispunjavanja kvote zapošljavanja osoba s invalidnošću (1.625,00 kn), </w:t>
      </w:r>
      <w:r w:rsidRPr="00DF679C">
        <w:rPr>
          <w:rFonts w:ascii="Calibri" w:eastAsia="Times New Roman" w:hAnsi="Calibri" w:cs="Times New Roman"/>
          <w:iCs/>
          <w:sz w:val="24"/>
          <w:szCs w:val="24"/>
        </w:rPr>
        <w:t xml:space="preserve">porez na </w:t>
      </w:r>
      <w:r w:rsidR="001C5609" w:rsidRPr="00DF679C">
        <w:rPr>
          <w:rFonts w:ascii="Calibri" w:eastAsia="Times New Roman" w:hAnsi="Calibri" w:cs="Times New Roman"/>
          <w:iCs/>
          <w:sz w:val="24"/>
          <w:szCs w:val="24"/>
        </w:rPr>
        <w:t>dodanu vrijednost</w:t>
      </w:r>
      <w:r w:rsidRPr="00DF679C">
        <w:rPr>
          <w:rFonts w:ascii="Calibri" w:eastAsia="Times New Roman" w:hAnsi="Calibri" w:cs="Times New Roman"/>
          <w:iCs/>
          <w:sz w:val="24"/>
          <w:szCs w:val="24"/>
        </w:rPr>
        <w:t xml:space="preserve"> (</w:t>
      </w:r>
      <w:r w:rsidR="00FB550E" w:rsidRPr="00DF679C">
        <w:rPr>
          <w:rFonts w:ascii="Calibri" w:eastAsia="Times New Roman" w:hAnsi="Calibri" w:cs="Times New Roman"/>
          <w:iCs/>
          <w:sz w:val="24"/>
          <w:szCs w:val="24"/>
        </w:rPr>
        <w:t>154.969,65</w:t>
      </w:r>
      <w:r w:rsidRPr="00DF679C">
        <w:rPr>
          <w:rFonts w:ascii="Calibri" w:eastAsia="Times New Roman" w:hAnsi="Calibri" w:cs="Times New Roman"/>
          <w:iCs/>
          <w:sz w:val="24"/>
          <w:szCs w:val="24"/>
        </w:rPr>
        <w:t xml:space="preserve"> kn).</w:t>
      </w:r>
    </w:p>
    <w:p w14:paraId="376134FC" w14:textId="2BC34D60" w:rsidR="003442D8" w:rsidRDefault="003442D8" w:rsidP="003442D8">
      <w:pPr>
        <w:spacing w:after="0" w:line="240" w:lineRule="auto"/>
        <w:ind w:right="92"/>
        <w:jc w:val="both"/>
        <w:rPr>
          <w:rFonts w:ascii="Calibri" w:eastAsia="Times New Roman" w:hAnsi="Calibri" w:cs="Times New Roman"/>
          <w:b/>
          <w:bCs/>
          <w:iCs/>
          <w:sz w:val="24"/>
          <w:szCs w:val="24"/>
        </w:rPr>
      </w:pPr>
    </w:p>
    <w:p w14:paraId="7E7C2646" w14:textId="7BD559CA" w:rsidR="00A3414A" w:rsidRDefault="00A3414A" w:rsidP="003442D8">
      <w:pPr>
        <w:spacing w:after="0" w:line="240" w:lineRule="auto"/>
        <w:ind w:right="92"/>
        <w:jc w:val="both"/>
        <w:rPr>
          <w:rFonts w:ascii="Calibri" w:eastAsia="Times New Roman" w:hAnsi="Calibri" w:cs="Times New Roman"/>
          <w:b/>
          <w:bCs/>
          <w:iCs/>
          <w:sz w:val="24"/>
          <w:szCs w:val="24"/>
        </w:rPr>
      </w:pPr>
    </w:p>
    <w:p w14:paraId="42E29F15" w14:textId="77777777" w:rsidR="00A3414A" w:rsidRPr="00DF679C" w:rsidRDefault="00A3414A" w:rsidP="003442D8">
      <w:pPr>
        <w:spacing w:after="0" w:line="240" w:lineRule="auto"/>
        <w:ind w:right="92"/>
        <w:jc w:val="both"/>
        <w:rPr>
          <w:rFonts w:ascii="Calibri" w:eastAsia="Times New Roman" w:hAnsi="Calibri" w:cs="Times New Roman"/>
          <w:b/>
          <w:bCs/>
          <w:iCs/>
          <w:sz w:val="24"/>
          <w:szCs w:val="24"/>
        </w:rPr>
      </w:pPr>
    </w:p>
    <w:p w14:paraId="273A897B" w14:textId="37B8136C" w:rsidR="00F642EB" w:rsidRPr="00DF679C" w:rsidRDefault="00F642EB" w:rsidP="003442D8">
      <w:pPr>
        <w:spacing w:after="0" w:line="240" w:lineRule="auto"/>
        <w:ind w:right="92"/>
        <w:jc w:val="both"/>
        <w:rPr>
          <w:rFonts w:ascii="Calibri" w:eastAsia="Times New Roman" w:hAnsi="Calibri" w:cs="Times New Roman"/>
          <w:b/>
          <w:bCs/>
          <w:iCs/>
          <w:sz w:val="24"/>
          <w:szCs w:val="24"/>
        </w:rPr>
      </w:pPr>
    </w:p>
    <w:p w14:paraId="0BB8F6AC" w14:textId="537A28C3"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OSTALE KRATKOROČNE OBVEZE</w:t>
      </w:r>
    </w:p>
    <w:p w14:paraId="51DBE6CC" w14:textId="0A721E3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7C31F06E" w14:textId="4807DBC8"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Ostale kratkoročne</w:t>
      </w:r>
      <w:r w:rsidR="001C5609" w:rsidRPr="00DF679C">
        <w:rPr>
          <w:rFonts w:ascii="Calibri" w:eastAsia="Times New Roman" w:hAnsi="Calibri" w:cs="Times New Roman"/>
          <w:iCs/>
          <w:sz w:val="24"/>
          <w:szCs w:val="24"/>
        </w:rPr>
        <w:t xml:space="preserve"> obveze na dan 31. prosinca 20</w:t>
      </w:r>
      <w:r w:rsidR="006D6868" w:rsidRPr="00DF679C">
        <w:rPr>
          <w:rFonts w:ascii="Calibri" w:eastAsia="Times New Roman" w:hAnsi="Calibri" w:cs="Times New Roman"/>
          <w:iCs/>
          <w:sz w:val="24"/>
          <w:szCs w:val="24"/>
        </w:rPr>
        <w:t>20</w:t>
      </w:r>
      <w:r w:rsidRPr="00DF679C">
        <w:rPr>
          <w:rFonts w:ascii="Calibri" w:eastAsia="Times New Roman" w:hAnsi="Calibri" w:cs="Times New Roman"/>
          <w:iCs/>
          <w:sz w:val="24"/>
          <w:szCs w:val="24"/>
        </w:rPr>
        <w:t xml:space="preserve">. godine iznose </w:t>
      </w:r>
      <w:r w:rsidR="001C5609" w:rsidRPr="00DF679C">
        <w:rPr>
          <w:rFonts w:ascii="Calibri" w:eastAsia="Times New Roman" w:hAnsi="Calibri" w:cs="Times New Roman"/>
          <w:iCs/>
          <w:sz w:val="24"/>
          <w:szCs w:val="24"/>
        </w:rPr>
        <w:t>1.28</w:t>
      </w:r>
      <w:r w:rsidR="006D6868" w:rsidRPr="00DF679C">
        <w:rPr>
          <w:rFonts w:ascii="Calibri" w:eastAsia="Times New Roman" w:hAnsi="Calibri" w:cs="Times New Roman"/>
          <w:iCs/>
          <w:sz w:val="24"/>
          <w:szCs w:val="24"/>
        </w:rPr>
        <w:t>4</w:t>
      </w:r>
      <w:r w:rsidR="001C5609" w:rsidRPr="00DF679C">
        <w:rPr>
          <w:rFonts w:ascii="Calibri" w:eastAsia="Times New Roman" w:hAnsi="Calibri" w:cs="Times New Roman"/>
          <w:iCs/>
          <w:sz w:val="24"/>
          <w:szCs w:val="24"/>
        </w:rPr>
        <w:t>.</w:t>
      </w:r>
      <w:r w:rsidR="006D6868" w:rsidRPr="00DF679C">
        <w:rPr>
          <w:rFonts w:ascii="Calibri" w:eastAsia="Times New Roman" w:hAnsi="Calibri" w:cs="Times New Roman"/>
          <w:iCs/>
          <w:sz w:val="24"/>
          <w:szCs w:val="24"/>
        </w:rPr>
        <w:t>716</w:t>
      </w:r>
      <w:r w:rsidR="001C5609" w:rsidRPr="00DF679C">
        <w:rPr>
          <w:rFonts w:ascii="Calibri" w:eastAsia="Times New Roman" w:hAnsi="Calibri" w:cs="Times New Roman"/>
          <w:iCs/>
          <w:sz w:val="24"/>
          <w:szCs w:val="24"/>
        </w:rPr>
        <w:t>,</w:t>
      </w:r>
      <w:r w:rsidR="006D6868" w:rsidRPr="00DF679C">
        <w:rPr>
          <w:rFonts w:ascii="Calibri" w:eastAsia="Times New Roman" w:hAnsi="Calibri" w:cs="Times New Roman"/>
          <w:iCs/>
          <w:sz w:val="24"/>
          <w:szCs w:val="24"/>
        </w:rPr>
        <w:t>67</w:t>
      </w:r>
      <w:r w:rsidRPr="00DF679C">
        <w:rPr>
          <w:rFonts w:ascii="Calibri" w:eastAsia="Times New Roman" w:hAnsi="Calibri" w:cs="Times New Roman"/>
          <w:iCs/>
          <w:sz w:val="24"/>
          <w:szCs w:val="24"/>
        </w:rPr>
        <w:t xml:space="preserve"> kn, a odnose se na naknade za korištenje i zaštitu voda u iznosu od </w:t>
      </w:r>
      <w:r w:rsidR="001C5609" w:rsidRPr="00DF679C">
        <w:rPr>
          <w:rFonts w:ascii="Calibri" w:eastAsia="Times New Roman" w:hAnsi="Calibri" w:cs="Times New Roman"/>
          <w:iCs/>
          <w:sz w:val="24"/>
          <w:szCs w:val="24"/>
        </w:rPr>
        <w:t>1.2</w:t>
      </w:r>
      <w:r w:rsidR="006D6868" w:rsidRPr="00DF679C">
        <w:rPr>
          <w:rFonts w:ascii="Calibri" w:eastAsia="Times New Roman" w:hAnsi="Calibri" w:cs="Times New Roman"/>
          <w:iCs/>
          <w:sz w:val="24"/>
          <w:szCs w:val="24"/>
        </w:rPr>
        <w:t>80</w:t>
      </w:r>
      <w:r w:rsidR="001C5609" w:rsidRPr="00DF679C">
        <w:rPr>
          <w:rFonts w:ascii="Calibri" w:eastAsia="Times New Roman" w:hAnsi="Calibri" w:cs="Times New Roman"/>
          <w:iCs/>
          <w:sz w:val="24"/>
          <w:szCs w:val="24"/>
        </w:rPr>
        <w:t>.</w:t>
      </w:r>
      <w:r w:rsidR="006D6868" w:rsidRPr="00DF679C">
        <w:rPr>
          <w:rFonts w:ascii="Calibri" w:eastAsia="Times New Roman" w:hAnsi="Calibri" w:cs="Times New Roman"/>
          <w:iCs/>
          <w:sz w:val="24"/>
          <w:szCs w:val="24"/>
        </w:rPr>
        <w:t>354,35</w:t>
      </w:r>
      <w:r w:rsidRPr="00DF679C">
        <w:rPr>
          <w:rFonts w:ascii="Calibri" w:eastAsia="Times New Roman" w:hAnsi="Calibri" w:cs="Times New Roman"/>
          <w:iCs/>
          <w:sz w:val="24"/>
          <w:szCs w:val="24"/>
        </w:rPr>
        <w:t xml:space="preserve"> kn i ostale kratkoročne obveze u iznosu od </w:t>
      </w:r>
      <w:r w:rsidR="006D6868" w:rsidRPr="00DF679C">
        <w:rPr>
          <w:rFonts w:ascii="Calibri" w:eastAsia="Times New Roman" w:hAnsi="Calibri" w:cs="Times New Roman"/>
          <w:iCs/>
          <w:sz w:val="24"/>
          <w:szCs w:val="24"/>
        </w:rPr>
        <w:t>4.362,32</w:t>
      </w:r>
      <w:r w:rsidRPr="00DF679C">
        <w:rPr>
          <w:rFonts w:ascii="Calibri" w:eastAsia="Times New Roman" w:hAnsi="Calibri" w:cs="Times New Roman"/>
          <w:iCs/>
          <w:sz w:val="24"/>
          <w:szCs w:val="24"/>
        </w:rPr>
        <w:t xml:space="preserve"> kn.</w:t>
      </w:r>
    </w:p>
    <w:p w14:paraId="3CD87C4C" w14:textId="582544A7" w:rsidR="004641A9" w:rsidRDefault="004641A9" w:rsidP="003442D8">
      <w:pPr>
        <w:spacing w:after="0" w:line="240" w:lineRule="auto"/>
        <w:ind w:right="92"/>
        <w:jc w:val="both"/>
        <w:rPr>
          <w:rFonts w:ascii="Calibri" w:eastAsia="Times New Roman" w:hAnsi="Calibri" w:cs="Times New Roman"/>
          <w:iCs/>
          <w:sz w:val="24"/>
          <w:szCs w:val="24"/>
        </w:rPr>
      </w:pPr>
    </w:p>
    <w:p w14:paraId="28C79ABA" w14:textId="77777777" w:rsidR="004641A9" w:rsidRPr="00DF679C" w:rsidRDefault="004641A9" w:rsidP="003442D8">
      <w:pPr>
        <w:spacing w:after="0" w:line="240" w:lineRule="auto"/>
        <w:ind w:right="92"/>
        <w:jc w:val="both"/>
        <w:rPr>
          <w:rFonts w:ascii="Calibri" w:eastAsia="Times New Roman" w:hAnsi="Calibri" w:cs="Times New Roman"/>
          <w:iCs/>
          <w:sz w:val="24"/>
          <w:szCs w:val="24"/>
        </w:rPr>
      </w:pPr>
    </w:p>
    <w:p w14:paraId="12DD0B78" w14:textId="389B5FDF"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ODGOĐENO PLAĆANJE TROŠKOVA  I PRIHOD BUDUĆEG RAZDOBLJA</w:t>
      </w:r>
    </w:p>
    <w:p w14:paraId="450DB51D"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39E9EE0E" w14:textId="7751F875" w:rsidR="003442D8" w:rsidRPr="00DF679C" w:rsidRDefault="001C5609"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Ova pozicija u</w:t>
      </w:r>
      <w:r w:rsidR="003442D8" w:rsidRPr="00DF679C">
        <w:rPr>
          <w:rFonts w:ascii="Calibri" w:eastAsia="Times New Roman" w:hAnsi="Calibri" w:cs="Times New Roman"/>
          <w:iCs/>
          <w:sz w:val="24"/>
          <w:szCs w:val="24"/>
        </w:rPr>
        <w:t xml:space="preserve"> </w:t>
      </w:r>
      <w:r w:rsidRPr="00DF679C">
        <w:rPr>
          <w:rFonts w:ascii="Calibri" w:eastAsia="Times New Roman" w:hAnsi="Calibri" w:cs="Times New Roman"/>
          <w:iCs/>
          <w:sz w:val="24"/>
          <w:szCs w:val="24"/>
        </w:rPr>
        <w:t>Bilanci na dan 31. prosinca 20</w:t>
      </w:r>
      <w:r w:rsidR="007C0084" w:rsidRPr="00DF679C">
        <w:rPr>
          <w:rFonts w:ascii="Calibri" w:eastAsia="Times New Roman" w:hAnsi="Calibri" w:cs="Times New Roman"/>
          <w:iCs/>
          <w:sz w:val="24"/>
          <w:szCs w:val="24"/>
        </w:rPr>
        <w:t>20</w:t>
      </w:r>
      <w:r w:rsidR="003442D8" w:rsidRPr="00DF679C">
        <w:rPr>
          <w:rFonts w:ascii="Calibri" w:eastAsia="Times New Roman" w:hAnsi="Calibri" w:cs="Times New Roman"/>
          <w:iCs/>
          <w:sz w:val="24"/>
          <w:szCs w:val="24"/>
        </w:rPr>
        <w:t xml:space="preserve">. godine </w:t>
      </w:r>
      <w:r w:rsidRPr="00DF679C">
        <w:rPr>
          <w:rFonts w:ascii="Calibri" w:eastAsia="Times New Roman" w:hAnsi="Calibri" w:cs="Times New Roman"/>
          <w:iCs/>
          <w:sz w:val="24"/>
          <w:szCs w:val="24"/>
        </w:rPr>
        <w:t>iznosi 3</w:t>
      </w:r>
      <w:r w:rsidR="007C0084" w:rsidRPr="00DF679C">
        <w:rPr>
          <w:rFonts w:ascii="Calibri" w:eastAsia="Times New Roman" w:hAnsi="Calibri" w:cs="Times New Roman"/>
          <w:iCs/>
          <w:sz w:val="24"/>
          <w:szCs w:val="24"/>
        </w:rPr>
        <w:t>4</w:t>
      </w:r>
      <w:r w:rsidRPr="00DF679C">
        <w:rPr>
          <w:rFonts w:ascii="Calibri" w:eastAsia="Times New Roman" w:hAnsi="Calibri" w:cs="Times New Roman"/>
          <w:iCs/>
          <w:sz w:val="24"/>
          <w:szCs w:val="24"/>
        </w:rPr>
        <w:t>7.</w:t>
      </w:r>
      <w:r w:rsidR="007C0084" w:rsidRPr="00DF679C">
        <w:rPr>
          <w:rFonts w:ascii="Calibri" w:eastAsia="Times New Roman" w:hAnsi="Calibri" w:cs="Times New Roman"/>
          <w:iCs/>
          <w:sz w:val="24"/>
          <w:szCs w:val="24"/>
        </w:rPr>
        <w:t>418.298,10</w:t>
      </w:r>
      <w:r w:rsidRPr="00DF679C">
        <w:rPr>
          <w:rFonts w:ascii="Calibri" w:eastAsia="Times New Roman" w:hAnsi="Calibri" w:cs="Times New Roman"/>
          <w:iCs/>
          <w:sz w:val="24"/>
          <w:szCs w:val="24"/>
        </w:rPr>
        <w:t xml:space="preserve"> kn, a odnosi</w:t>
      </w:r>
      <w:r w:rsidR="003442D8" w:rsidRPr="00DF679C">
        <w:rPr>
          <w:rFonts w:ascii="Calibri" w:eastAsia="Times New Roman" w:hAnsi="Calibri" w:cs="Times New Roman"/>
          <w:iCs/>
          <w:sz w:val="24"/>
          <w:szCs w:val="24"/>
        </w:rPr>
        <w:t xml:space="preserve"> se na:</w:t>
      </w:r>
    </w:p>
    <w:bookmarkStart w:id="48" w:name="_MON_1395660596"/>
    <w:bookmarkEnd w:id="48"/>
    <w:p w14:paraId="664B2502" w14:textId="064C7BE1" w:rsidR="001C5609" w:rsidRPr="00DF679C" w:rsidRDefault="00E3106E"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object w:dxaOrig="9740" w:dyaOrig="3330" w14:anchorId="29D4F0BC">
          <v:shape id="_x0000_i1036" type="#_x0000_t75" style="width:456pt;height:157.5pt" o:ole="">
            <v:imagedata r:id="rId33" o:title=""/>
          </v:shape>
          <o:OLEObject Type="Embed" ProgID="Excel.Sheet.12" ShapeID="_x0000_i1036" DrawAspect="Content" ObjectID="_1684915229" r:id="rId34"/>
        </w:object>
      </w:r>
    </w:p>
    <w:p w14:paraId="6BD7BE14" w14:textId="42BEC0A9" w:rsidR="003442D8" w:rsidRPr="00DF679C" w:rsidRDefault="001C5609" w:rsidP="00F8554F">
      <w:pPr>
        <w:numPr>
          <w:ilvl w:val="0"/>
          <w:numId w:val="6"/>
        </w:numPr>
        <w:spacing w:after="0" w:line="240" w:lineRule="auto"/>
        <w:ind w:right="92"/>
        <w:jc w:val="both"/>
        <w:rPr>
          <w:rFonts w:ascii="Calibri" w:eastAsia="Times New Roman" w:hAnsi="Calibri" w:cs="Times New Roman"/>
          <w:b/>
          <w:sz w:val="24"/>
          <w:szCs w:val="24"/>
        </w:rPr>
      </w:pPr>
      <w:r w:rsidRPr="00DF679C">
        <w:rPr>
          <w:rFonts w:ascii="Calibri" w:eastAsia="Times New Roman" w:hAnsi="Calibri" w:cs="Times New Roman"/>
          <w:b/>
          <w:sz w:val="24"/>
          <w:szCs w:val="24"/>
        </w:rPr>
        <w:t>Promjene tijekom 20</w:t>
      </w:r>
      <w:r w:rsidR="007C0084" w:rsidRPr="00DF679C">
        <w:rPr>
          <w:rFonts w:ascii="Calibri" w:eastAsia="Times New Roman" w:hAnsi="Calibri" w:cs="Times New Roman"/>
          <w:b/>
          <w:sz w:val="24"/>
          <w:szCs w:val="24"/>
        </w:rPr>
        <w:t>20</w:t>
      </w:r>
      <w:r w:rsidR="003442D8" w:rsidRPr="00DF679C">
        <w:rPr>
          <w:rFonts w:ascii="Calibri" w:eastAsia="Times New Roman" w:hAnsi="Calibri" w:cs="Times New Roman"/>
          <w:b/>
          <w:sz w:val="24"/>
          <w:szCs w:val="24"/>
        </w:rPr>
        <w:t>. godine:</w:t>
      </w:r>
    </w:p>
    <w:p w14:paraId="378881A8" w14:textId="77777777" w:rsidR="003442D8" w:rsidRPr="00DF679C" w:rsidRDefault="003442D8" w:rsidP="003442D8">
      <w:pPr>
        <w:spacing w:after="0" w:line="240" w:lineRule="auto"/>
        <w:ind w:right="92"/>
        <w:jc w:val="both"/>
        <w:rPr>
          <w:rFonts w:ascii="Calibri" w:eastAsia="Times New Roman" w:hAnsi="Calibri" w:cs="Times New Roman"/>
          <w:b/>
          <w:sz w:val="24"/>
          <w:szCs w:val="24"/>
        </w:rPr>
      </w:pPr>
    </w:p>
    <w:p w14:paraId="0AE2CEBF" w14:textId="3DA9F3C2" w:rsidR="003442D8" w:rsidRPr="00DF679C" w:rsidRDefault="003442D8" w:rsidP="003442D8">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b/>
          <w:sz w:val="24"/>
          <w:szCs w:val="24"/>
        </w:rPr>
        <w:t>/i/</w:t>
      </w:r>
      <w:r w:rsidRPr="00DF679C">
        <w:rPr>
          <w:rFonts w:ascii="Calibri" w:eastAsia="Times New Roman" w:hAnsi="Calibri" w:cs="Times New Roman"/>
          <w:b/>
          <w:sz w:val="24"/>
          <w:szCs w:val="24"/>
        </w:rPr>
        <w:tab/>
      </w:r>
      <w:r w:rsidR="00DD7B08" w:rsidRPr="00DF679C">
        <w:rPr>
          <w:rFonts w:ascii="Calibri" w:eastAsia="Times New Roman" w:hAnsi="Calibri" w:cs="Times New Roman"/>
          <w:sz w:val="24"/>
          <w:szCs w:val="24"/>
        </w:rPr>
        <w:t>Hrvatske vode doznačile su ukupno 1.</w:t>
      </w:r>
      <w:r w:rsidR="009768B7" w:rsidRPr="00DF679C">
        <w:rPr>
          <w:rFonts w:ascii="Calibri" w:eastAsia="Times New Roman" w:hAnsi="Calibri" w:cs="Times New Roman"/>
          <w:sz w:val="24"/>
          <w:szCs w:val="24"/>
        </w:rPr>
        <w:t>863.090,71</w:t>
      </w:r>
      <w:r w:rsidRPr="00DF679C">
        <w:rPr>
          <w:rFonts w:ascii="Calibri" w:eastAsia="Times New Roman" w:hAnsi="Calibri" w:cs="Times New Roman"/>
          <w:sz w:val="24"/>
          <w:szCs w:val="24"/>
        </w:rPr>
        <w:t xml:space="preserve"> kn</w:t>
      </w:r>
      <w:r w:rsidR="00DD7B08" w:rsidRPr="00DF679C">
        <w:rPr>
          <w:rFonts w:ascii="Calibri" w:eastAsia="Times New Roman" w:hAnsi="Calibri" w:cs="Times New Roman"/>
          <w:sz w:val="24"/>
          <w:szCs w:val="24"/>
        </w:rPr>
        <w:t xml:space="preserve"> i to</w:t>
      </w:r>
      <w:r w:rsidRPr="00DF679C">
        <w:rPr>
          <w:rFonts w:ascii="Calibri" w:eastAsia="Times New Roman" w:hAnsi="Calibri" w:cs="Times New Roman"/>
          <w:sz w:val="24"/>
          <w:szCs w:val="24"/>
        </w:rPr>
        <w:t xml:space="preserve"> za financiranje</w:t>
      </w:r>
      <w:r w:rsidR="00F42921" w:rsidRPr="00DF679C">
        <w:rPr>
          <w:rFonts w:ascii="Calibri" w:eastAsia="Times New Roman" w:hAnsi="Calibri" w:cs="Times New Roman"/>
          <w:sz w:val="24"/>
          <w:szCs w:val="24"/>
        </w:rPr>
        <w:t>:</w:t>
      </w:r>
      <w:r w:rsidR="00DD7B08" w:rsidRPr="00DF679C">
        <w:rPr>
          <w:rFonts w:ascii="Calibri" w:eastAsia="Times New Roman" w:hAnsi="Calibri" w:cs="Times New Roman"/>
          <w:sz w:val="24"/>
          <w:szCs w:val="24"/>
        </w:rPr>
        <w:t xml:space="preserve"> rehabilitacije kanalizacijskog kolektora u naselj</w:t>
      </w:r>
      <w:r w:rsidR="009768B7" w:rsidRPr="00DF679C">
        <w:rPr>
          <w:rFonts w:ascii="Calibri" w:eastAsia="Times New Roman" w:hAnsi="Calibri" w:cs="Times New Roman"/>
          <w:sz w:val="24"/>
          <w:szCs w:val="24"/>
        </w:rPr>
        <w:t>ima</w:t>
      </w:r>
      <w:r w:rsidR="00DD7B08" w:rsidRPr="00DF679C">
        <w:rPr>
          <w:rFonts w:ascii="Calibri" w:eastAsia="Times New Roman" w:hAnsi="Calibri" w:cs="Times New Roman"/>
          <w:sz w:val="24"/>
          <w:szCs w:val="24"/>
        </w:rPr>
        <w:t xml:space="preserve"> </w:t>
      </w:r>
      <w:r w:rsidR="009768B7" w:rsidRPr="00DF679C">
        <w:rPr>
          <w:rFonts w:ascii="Calibri" w:eastAsia="Times New Roman" w:hAnsi="Calibri" w:cs="Times New Roman"/>
          <w:sz w:val="24"/>
          <w:szCs w:val="24"/>
        </w:rPr>
        <w:t>Baška i Batomalj</w:t>
      </w:r>
      <w:r w:rsidR="00DD7B08" w:rsidRPr="00DF679C">
        <w:rPr>
          <w:rFonts w:ascii="Calibri" w:eastAsia="Times New Roman" w:hAnsi="Calibri" w:cs="Times New Roman"/>
          <w:sz w:val="24"/>
          <w:szCs w:val="24"/>
        </w:rPr>
        <w:t xml:space="preserve"> </w:t>
      </w:r>
      <w:r w:rsidR="009768B7" w:rsidRPr="00DF679C">
        <w:rPr>
          <w:rFonts w:ascii="Calibri" w:eastAsia="Times New Roman" w:hAnsi="Calibri" w:cs="Times New Roman"/>
          <w:sz w:val="24"/>
          <w:szCs w:val="24"/>
        </w:rPr>
        <w:t>4</w:t>
      </w:r>
      <w:r w:rsidR="00DD7B08" w:rsidRPr="00DF679C">
        <w:rPr>
          <w:rFonts w:ascii="Calibri" w:eastAsia="Times New Roman" w:hAnsi="Calibri" w:cs="Times New Roman"/>
          <w:sz w:val="24"/>
          <w:szCs w:val="24"/>
        </w:rPr>
        <w:t xml:space="preserve">00.000,00 kn, </w:t>
      </w:r>
      <w:r w:rsidR="00F42921" w:rsidRPr="00DF679C">
        <w:rPr>
          <w:rFonts w:ascii="Calibri" w:eastAsia="Times New Roman" w:hAnsi="Calibri" w:cs="Times New Roman"/>
          <w:sz w:val="24"/>
          <w:szCs w:val="24"/>
        </w:rPr>
        <w:t xml:space="preserve">izgradnje </w:t>
      </w:r>
      <w:r w:rsidR="00DD7B08" w:rsidRPr="00DF679C">
        <w:rPr>
          <w:rFonts w:ascii="Calibri" w:eastAsia="Times New Roman" w:hAnsi="Calibri" w:cs="Times New Roman"/>
          <w:sz w:val="24"/>
          <w:szCs w:val="24"/>
        </w:rPr>
        <w:t>kanalizacij</w:t>
      </w:r>
      <w:r w:rsidR="00F42921" w:rsidRPr="00DF679C">
        <w:rPr>
          <w:rFonts w:ascii="Calibri" w:eastAsia="Times New Roman" w:hAnsi="Calibri" w:cs="Times New Roman"/>
          <w:sz w:val="24"/>
          <w:szCs w:val="24"/>
        </w:rPr>
        <w:t>e</w:t>
      </w:r>
      <w:r w:rsidR="00DD7B08" w:rsidRPr="00DF679C">
        <w:rPr>
          <w:rFonts w:ascii="Calibri" w:eastAsia="Times New Roman" w:hAnsi="Calibri" w:cs="Times New Roman"/>
          <w:sz w:val="24"/>
          <w:szCs w:val="24"/>
        </w:rPr>
        <w:t xml:space="preserve"> </w:t>
      </w:r>
      <w:r w:rsidR="00F42921" w:rsidRPr="00DF679C">
        <w:rPr>
          <w:rFonts w:ascii="Calibri" w:eastAsia="Times New Roman" w:hAnsi="Calibri" w:cs="Times New Roman"/>
          <w:sz w:val="24"/>
          <w:szCs w:val="24"/>
        </w:rPr>
        <w:t xml:space="preserve">u naselju </w:t>
      </w:r>
      <w:r w:rsidR="00DD7B08" w:rsidRPr="00DF679C">
        <w:rPr>
          <w:rFonts w:ascii="Calibri" w:eastAsia="Times New Roman" w:hAnsi="Calibri" w:cs="Times New Roman"/>
          <w:sz w:val="24"/>
          <w:szCs w:val="24"/>
        </w:rPr>
        <w:t>Vrbnik</w:t>
      </w:r>
      <w:r w:rsidR="00205649" w:rsidRPr="00DF679C">
        <w:rPr>
          <w:rFonts w:ascii="Calibri" w:eastAsia="Times New Roman" w:hAnsi="Calibri" w:cs="Times New Roman"/>
          <w:sz w:val="24"/>
          <w:szCs w:val="24"/>
        </w:rPr>
        <w:t xml:space="preserve"> IV faza</w:t>
      </w:r>
      <w:r w:rsidR="00DD7B08" w:rsidRPr="00DF679C">
        <w:rPr>
          <w:rFonts w:ascii="Calibri" w:eastAsia="Times New Roman" w:hAnsi="Calibri" w:cs="Times New Roman"/>
          <w:sz w:val="24"/>
          <w:szCs w:val="24"/>
        </w:rPr>
        <w:t xml:space="preserve"> </w:t>
      </w:r>
      <w:r w:rsidR="009768B7" w:rsidRPr="00DF679C">
        <w:rPr>
          <w:rFonts w:ascii="Calibri" w:eastAsia="Times New Roman" w:hAnsi="Calibri" w:cs="Times New Roman"/>
          <w:sz w:val="24"/>
          <w:szCs w:val="24"/>
        </w:rPr>
        <w:t>1.0</w:t>
      </w:r>
      <w:r w:rsidR="00DD7B08" w:rsidRPr="00DF679C">
        <w:rPr>
          <w:rFonts w:ascii="Calibri" w:eastAsia="Times New Roman" w:hAnsi="Calibri" w:cs="Times New Roman"/>
          <w:sz w:val="24"/>
          <w:szCs w:val="24"/>
        </w:rPr>
        <w:t xml:space="preserve">00.000,00 kn, </w:t>
      </w:r>
      <w:r w:rsidR="00F42921" w:rsidRPr="00DF679C">
        <w:rPr>
          <w:rFonts w:ascii="Calibri" w:eastAsia="Times New Roman" w:hAnsi="Calibri" w:cs="Times New Roman"/>
          <w:sz w:val="24"/>
          <w:szCs w:val="24"/>
        </w:rPr>
        <w:t xml:space="preserve">izrade </w:t>
      </w:r>
      <w:r w:rsidR="00205649" w:rsidRPr="00DF679C">
        <w:rPr>
          <w:rFonts w:ascii="Calibri" w:eastAsia="Times New Roman" w:hAnsi="Calibri" w:cs="Times New Roman"/>
          <w:sz w:val="24"/>
          <w:szCs w:val="24"/>
        </w:rPr>
        <w:t>projekt</w:t>
      </w:r>
      <w:r w:rsidR="00F42921" w:rsidRPr="00DF679C">
        <w:rPr>
          <w:rFonts w:ascii="Calibri" w:eastAsia="Times New Roman" w:hAnsi="Calibri" w:cs="Times New Roman"/>
          <w:sz w:val="24"/>
          <w:szCs w:val="24"/>
        </w:rPr>
        <w:t>a</w:t>
      </w:r>
      <w:r w:rsidR="00205649" w:rsidRPr="00DF679C">
        <w:rPr>
          <w:rFonts w:ascii="Calibri" w:eastAsia="Times New Roman" w:hAnsi="Calibri" w:cs="Times New Roman"/>
          <w:sz w:val="24"/>
          <w:szCs w:val="24"/>
        </w:rPr>
        <w:t xml:space="preserve"> akumulacije</w:t>
      </w:r>
      <w:r w:rsidR="00DD7B08" w:rsidRPr="00DF679C">
        <w:rPr>
          <w:rFonts w:ascii="Calibri" w:eastAsia="Times New Roman" w:hAnsi="Calibri" w:cs="Times New Roman"/>
          <w:sz w:val="24"/>
          <w:szCs w:val="24"/>
        </w:rPr>
        <w:t xml:space="preserve"> Ponikve </w:t>
      </w:r>
      <w:r w:rsidR="009768B7" w:rsidRPr="00DF679C">
        <w:rPr>
          <w:rFonts w:ascii="Calibri" w:eastAsia="Times New Roman" w:hAnsi="Calibri" w:cs="Times New Roman"/>
          <w:sz w:val="24"/>
          <w:szCs w:val="24"/>
        </w:rPr>
        <w:t>171.960</w:t>
      </w:r>
      <w:r w:rsidR="00DD7B08" w:rsidRPr="00DF679C">
        <w:rPr>
          <w:rFonts w:ascii="Calibri" w:eastAsia="Times New Roman" w:hAnsi="Calibri" w:cs="Times New Roman"/>
          <w:sz w:val="24"/>
          <w:szCs w:val="24"/>
        </w:rPr>
        <w:t>,00 kn</w:t>
      </w:r>
      <w:r w:rsidR="009768B7" w:rsidRPr="00DF679C">
        <w:rPr>
          <w:rFonts w:ascii="Calibri" w:eastAsia="Times New Roman" w:hAnsi="Calibri" w:cs="Times New Roman"/>
          <w:sz w:val="24"/>
          <w:szCs w:val="24"/>
        </w:rPr>
        <w:t xml:space="preserve"> i</w:t>
      </w:r>
      <w:r w:rsidR="00DD7B08" w:rsidRPr="00DF679C">
        <w:rPr>
          <w:rFonts w:ascii="Calibri" w:eastAsia="Times New Roman" w:hAnsi="Calibri" w:cs="Times New Roman"/>
          <w:sz w:val="24"/>
          <w:szCs w:val="24"/>
        </w:rPr>
        <w:t xml:space="preserve"> za</w:t>
      </w:r>
      <w:r w:rsidRPr="00DF679C">
        <w:rPr>
          <w:rFonts w:ascii="Calibri" w:eastAsia="Times New Roman" w:hAnsi="Calibri" w:cs="Times New Roman"/>
          <w:sz w:val="24"/>
          <w:szCs w:val="24"/>
        </w:rPr>
        <w:t xml:space="preserve"> </w:t>
      </w:r>
      <w:r w:rsidR="00120DA6" w:rsidRPr="00DF679C">
        <w:rPr>
          <w:rFonts w:ascii="Calibri" w:eastAsia="Times New Roman" w:hAnsi="Calibri" w:cs="Times New Roman"/>
          <w:sz w:val="24"/>
          <w:szCs w:val="24"/>
        </w:rPr>
        <w:t>izgradnju</w:t>
      </w:r>
      <w:r w:rsidRPr="00DF679C">
        <w:rPr>
          <w:rFonts w:ascii="Calibri" w:eastAsia="Times New Roman" w:hAnsi="Calibri" w:cs="Times New Roman"/>
          <w:sz w:val="24"/>
          <w:szCs w:val="24"/>
        </w:rPr>
        <w:t xml:space="preserve"> javnih vodovoda </w:t>
      </w:r>
      <w:r w:rsidR="00120DA6" w:rsidRPr="00DF679C">
        <w:rPr>
          <w:rFonts w:ascii="Calibri" w:eastAsia="Times New Roman" w:hAnsi="Calibri" w:cs="Times New Roman"/>
          <w:sz w:val="24"/>
          <w:szCs w:val="24"/>
        </w:rPr>
        <w:t xml:space="preserve">(ogranci u naseljima Risika i Sužan) </w:t>
      </w:r>
      <w:r w:rsidR="009768B7" w:rsidRPr="00DF679C">
        <w:rPr>
          <w:rFonts w:ascii="Calibri" w:eastAsia="Times New Roman" w:hAnsi="Calibri" w:cs="Times New Roman"/>
          <w:sz w:val="24"/>
          <w:szCs w:val="24"/>
        </w:rPr>
        <w:t>291.130,71</w:t>
      </w:r>
      <w:r w:rsidR="00DD7B08" w:rsidRPr="00DF679C">
        <w:rPr>
          <w:rFonts w:ascii="Calibri" w:eastAsia="Times New Roman" w:hAnsi="Calibri" w:cs="Times New Roman"/>
          <w:sz w:val="24"/>
          <w:szCs w:val="24"/>
        </w:rPr>
        <w:t xml:space="preserve"> kn</w:t>
      </w:r>
      <w:r w:rsidRPr="00DF679C">
        <w:rPr>
          <w:rFonts w:ascii="Calibri" w:eastAsia="Times New Roman" w:hAnsi="Calibri" w:cs="Times New Roman"/>
          <w:sz w:val="24"/>
          <w:szCs w:val="24"/>
        </w:rPr>
        <w:t>.</w:t>
      </w:r>
    </w:p>
    <w:p w14:paraId="3A22239E" w14:textId="77777777" w:rsidR="003442D8" w:rsidRPr="00DF679C" w:rsidRDefault="003442D8" w:rsidP="003442D8">
      <w:pPr>
        <w:spacing w:after="0" w:line="240" w:lineRule="auto"/>
        <w:jc w:val="both"/>
        <w:rPr>
          <w:rFonts w:ascii="Calibri" w:eastAsia="Times New Roman" w:hAnsi="Calibri" w:cs="Times New Roman"/>
          <w:b/>
          <w:sz w:val="24"/>
          <w:szCs w:val="24"/>
        </w:rPr>
      </w:pPr>
    </w:p>
    <w:p w14:paraId="4ABD4102" w14:textId="5856A8DC" w:rsidR="003442D8" w:rsidRPr="00DF679C" w:rsidRDefault="003442D8" w:rsidP="003442D8">
      <w:pPr>
        <w:spacing w:after="0" w:line="240" w:lineRule="auto"/>
        <w:jc w:val="both"/>
        <w:rPr>
          <w:rFonts w:ascii="Calibri" w:eastAsia="Times New Roman" w:hAnsi="Calibri" w:cs="Times New Roman"/>
          <w:sz w:val="24"/>
          <w:szCs w:val="24"/>
        </w:rPr>
      </w:pPr>
      <w:r w:rsidRPr="00DF679C">
        <w:rPr>
          <w:rFonts w:ascii="Calibri" w:eastAsia="Times New Roman" w:hAnsi="Calibri" w:cs="Times New Roman"/>
          <w:b/>
          <w:sz w:val="24"/>
          <w:szCs w:val="24"/>
        </w:rPr>
        <w:t>/ii/</w:t>
      </w:r>
      <w:r w:rsidRPr="00DF679C">
        <w:rPr>
          <w:rFonts w:ascii="Calibri" w:eastAsia="Times New Roman" w:hAnsi="Calibri" w:cs="Times New Roman"/>
          <w:b/>
          <w:sz w:val="24"/>
          <w:szCs w:val="24"/>
        </w:rPr>
        <w:tab/>
      </w:r>
      <w:r w:rsidRPr="00DF679C">
        <w:rPr>
          <w:rFonts w:ascii="Calibri" w:eastAsia="Times New Roman" w:hAnsi="Calibri" w:cs="Times New Roman"/>
          <w:sz w:val="24"/>
          <w:szCs w:val="24"/>
        </w:rPr>
        <w:t xml:space="preserve">Iznos od </w:t>
      </w:r>
      <w:r w:rsidR="00E542FE" w:rsidRPr="00DF679C">
        <w:rPr>
          <w:rFonts w:ascii="Calibri" w:eastAsia="Times New Roman" w:hAnsi="Calibri" w:cs="Times New Roman"/>
          <w:sz w:val="24"/>
          <w:szCs w:val="24"/>
        </w:rPr>
        <w:t>42</w:t>
      </w:r>
      <w:r w:rsidR="009768B7" w:rsidRPr="00DF679C">
        <w:rPr>
          <w:rFonts w:ascii="Calibri" w:eastAsia="Times New Roman" w:hAnsi="Calibri" w:cs="Times New Roman"/>
          <w:sz w:val="24"/>
          <w:szCs w:val="24"/>
        </w:rPr>
        <w:t>.613.130,96</w:t>
      </w:r>
      <w:r w:rsidRPr="00DF679C">
        <w:rPr>
          <w:rFonts w:ascii="Calibri" w:eastAsia="Times New Roman" w:hAnsi="Calibri" w:cs="Times New Roman"/>
          <w:sz w:val="24"/>
          <w:szCs w:val="24"/>
        </w:rPr>
        <w:t xml:space="preserve"> kn predstavlja iznos sufinanciranja EU projekta „Projekt prikupljanja, odvodnje i pročišćavanja otpadnih vod</w:t>
      </w:r>
      <w:r w:rsidR="00E542FE" w:rsidRPr="00DF679C">
        <w:rPr>
          <w:rFonts w:ascii="Calibri" w:eastAsia="Times New Roman" w:hAnsi="Calibri" w:cs="Times New Roman"/>
          <w:sz w:val="24"/>
          <w:szCs w:val="24"/>
        </w:rPr>
        <w:t>a na području otoka Krka“ u 20</w:t>
      </w:r>
      <w:r w:rsidR="009768B7" w:rsidRPr="00DF679C">
        <w:rPr>
          <w:rFonts w:ascii="Calibri" w:eastAsia="Times New Roman" w:hAnsi="Calibri" w:cs="Times New Roman"/>
          <w:sz w:val="24"/>
          <w:szCs w:val="24"/>
        </w:rPr>
        <w:t>20</w:t>
      </w:r>
      <w:r w:rsidRPr="00DF679C">
        <w:rPr>
          <w:rFonts w:ascii="Calibri" w:eastAsia="Times New Roman" w:hAnsi="Calibri" w:cs="Times New Roman"/>
          <w:sz w:val="24"/>
          <w:szCs w:val="24"/>
        </w:rPr>
        <w:t xml:space="preserve">. godini i to: bespovratna sredstva EU </w:t>
      </w:r>
      <w:r w:rsidR="009768B7" w:rsidRPr="00DF679C">
        <w:rPr>
          <w:rFonts w:ascii="Calibri" w:eastAsia="Times New Roman" w:hAnsi="Calibri" w:cs="Times New Roman"/>
          <w:sz w:val="24"/>
          <w:szCs w:val="24"/>
        </w:rPr>
        <w:t>30.788.306,71</w:t>
      </w:r>
      <w:r w:rsidRPr="00DF679C">
        <w:rPr>
          <w:rFonts w:ascii="Calibri" w:eastAsia="Times New Roman" w:hAnsi="Calibri" w:cs="Times New Roman"/>
          <w:sz w:val="24"/>
          <w:szCs w:val="24"/>
        </w:rPr>
        <w:t xml:space="preserve"> kn, Ministarstvo zaštite okoliša i energetike </w:t>
      </w:r>
      <w:r w:rsidR="009768B7" w:rsidRPr="00DF679C">
        <w:rPr>
          <w:rFonts w:ascii="Calibri" w:eastAsia="Times New Roman" w:hAnsi="Calibri" w:cs="Times New Roman"/>
          <w:sz w:val="24"/>
          <w:szCs w:val="24"/>
        </w:rPr>
        <w:t>3.941.608,08</w:t>
      </w:r>
      <w:r w:rsidRPr="00DF679C">
        <w:rPr>
          <w:rFonts w:ascii="Calibri" w:eastAsia="Times New Roman" w:hAnsi="Calibri" w:cs="Times New Roman"/>
          <w:sz w:val="24"/>
          <w:szCs w:val="24"/>
        </w:rPr>
        <w:t xml:space="preserve"> kn te Hrvatske vode </w:t>
      </w:r>
      <w:r w:rsidR="009768B7" w:rsidRPr="00DF679C">
        <w:rPr>
          <w:rFonts w:ascii="Calibri" w:eastAsia="Times New Roman" w:hAnsi="Calibri" w:cs="Times New Roman"/>
          <w:sz w:val="24"/>
          <w:szCs w:val="24"/>
        </w:rPr>
        <w:t>3.941.608,08</w:t>
      </w:r>
      <w:r w:rsidRPr="00DF679C">
        <w:rPr>
          <w:rFonts w:ascii="Calibri" w:eastAsia="Times New Roman" w:hAnsi="Calibri" w:cs="Times New Roman"/>
          <w:sz w:val="24"/>
          <w:szCs w:val="24"/>
        </w:rPr>
        <w:t xml:space="preserve"> kn (Bilješka 7/ii/a)).</w:t>
      </w:r>
    </w:p>
    <w:p w14:paraId="5973D70C" w14:textId="77777777" w:rsidR="003442D8" w:rsidRPr="00DF679C" w:rsidRDefault="003442D8" w:rsidP="003442D8">
      <w:pPr>
        <w:spacing w:after="0" w:line="240" w:lineRule="auto"/>
        <w:jc w:val="both"/>
        <w:rPr>
          <w:rFonts w:ascii="Calibri" w:eastAsia="Times New Roman" w:hAnsi="Calibri" w:cs="Times New Roman"/>
          <w:b/>
          <w:sz w:val="24"/>
          <w:szCs w:val="24"/>
        </w:rPr>
      </w:pPr>
    </w:p>
    <w:p w14:paraId="4C0DC1B9" w14:textId="094ADB2C" w:rsidR="003442D8" w:rsidRPr="00DF679C" w:rsidRDefault="003442D8" w:rsidP="003442D8">
      <w:pPr>
        <w:spacing w:after="0" w:line="240" w:lineRule="auto"/>
        <w:ind w:right="92"/>
        <w:jc w:val="both"/>
        <w:rPr>
          <w:rFonts w:ascii="Calibri" w:eastAsia="Times New Roman" w:hAnsi="Calibri" w:cs="Times New Roman"/>
          <w:bCs/>
          <w:sz w:val="24"/>
          <w:szCs w:val="24"/>
        </w:rPr>
      </w:pPr>
      <w:r w:rsidRPr="00DF679C">
        <w:rPr>
          <w:rFonts w:ascii="Calibri" w:eastAsia="Times New Roman" w:hAnsi="Calibri" w:cs="Times New Roman"/>
          <w:b/>
          <w:bCs/>
          <w:sz w:val="24"/>
          <w:szCs w:val="24"/>
        </w:rPr>
        <w:t>/iii/</w:t>
      </w:r>
      <w:r w:rsidR="004342C8" w:rsidRPr="00DF679C">
        <w:rPr>
          <w:rFonts w:ascii="Calibri" w:eastAsia="Times New Roman" w:hAnsi="Calibri" w:cs="Times New Roman"/>
          <w:bCs/>
          <w:sz w:val="24"/>
          <w:szCs w:val="24"/>
        </w:rPr>
        <w:tab/>
      </w:r>
      <w:r w:rsidRPr="00DF679C">
        <w:rPr>
          <w:rFonts w:ascii="Calibri" w:eastAsia="Times New Roman" w:hAnsi="Calibri" w:cs="Times New Roman"/>
          <w:bCs/>
          <w:sz w:val="24"/>
          <w:szCs w:val="24"/>
        </w:rPr>
        <w:t>Prijenos s odgođenih prihoda na prihode obavlja se u visini amortizacije za dugotrajnu materijalnu imovinu nabavljenu iz namjenskih sredstava</w:t>
      </w:r>
      <w:r w:rsidR="00E542FE" w:rsidRPr="00DF679C">
        <w:rPr>
          <w:rFonts w:ascii="Calibri" w:eastAsia="Times New Roman" w:hAnsi="Calibri" w:cs="Times New Roman"/>
          <w:bCs/>
          <w:sz w:val="24"/>
          <w:szCs w:val="24"/>
        </w:rPr>
        <w:t>. Tijekom 20</w:t>
      </w:r>
      <w:r w:rsidR="007C0084" w:rsidRPr="00DF679C">
        <w:rPr>
          <w:rFonts w:ascii="Calibri" w:eastAsia="Times New Roman" w:hAnsi="Calibri" w:cs="Times New Roman"/>
          <w:bCs/>
          <w:sz w:val="24"/>
          <w:szCs w:val="24"/>
        </w:rPr>
        <w:t>20</w:t>
      </w:r>
      <w:r w:rsidRPr="00DF679C">
        <w:rPr>
          <w:rFonts w:ascii="Calibri" w:eastAsia="Times New Roman" w:hAnsi="Calibri" w:cs="Times New Roman"/>
          <w:bCs/>
          <w:sz w:val="24"/>
          <w:szCs w:val="24"/>
        </w:rPr>
        <w:t xml:space="preserve">. godine Društvo je oprihodovalo iznos od </w:t>
      </w:r>
      <w:r w:rsidR="00E542FE" w:rsidRPr="00DF679C">
        <w:rPr>
          <w:rFonts w:ascii="Calibri" w:eastAsia="Times New Roman" w:hAnsi="Calibri" w:cs="Times New Roman"/>
          <w:bCs/>
          <w:sz w:val="24"/>
          <w:szCs w:val="24"/>
        </w:rPr>
        <w:t>5.</w:t>
      </w:r>
      <w:r w:rsidR="007C0084" w:rsidRPr="00DF679C">
        <w:rPr>
          <w:rFonts w:ascii="Calibri" w:eastAsia="Times New Roman" w:hAnsi="Calibri" w:cs="Times New Roman"/>
          <w:bCs/>
          <w:sz w:val="24"/>
          <w:szCs w:val="24"/>
        </w:rPr>
        <w:t>682</w:t>
      </w:r>
      <w:r w:rsidR="00E542FE" w:rsidRPr="00DF679C">
        <w:rPr>
          <w:rFonts w:ascii="Calibri" w:eastAsia="Times New Roman" w:hAnsi="Calibri" w:cs="Times New Roman"/>
          <w:bCs/>
          <w:sz w:val="24"/>
          <w:szCs w:val="24"/>
        </w:rPr>
        <w:t>.</w:t>
      </w:r>
      <w:r w:rsidR="007C0084" w:rsidRPr="00DF679C">
        <w:rPr>
          <w:rFonts w:ascii="Calibri" w:eastAsia="Times New Roman" w:hAnsi="Calibri" w:cs="Times New Roman"/>
          <w:bCs/>
          <w:sz w:val="24"/>
          <w:szCs w:val="24"/>
        </w:rPr>
        <w:t>656</w:t>
      </w:r>
      <w:r w:rsidR="00E542FE" w:rsidRPr="00DF679C">
        <w:rPr>
          <w:rFonts w:ascii="Calibri" w:eastAsia="Times New Roman" w:hAnsi="Calibri" w:cs="Times New Roman"/>
          <w:bCs/>
          <w:sz w:val="24"/>
          <w:szCs w:val="24"/>
        </w:rPr>
        <w:t>,</w:t>
      </w:r>
      <w:r w:rsidR="007C0084" w:rsidRPr="00DF679C">
        <w:rPr>
          <w:rFonts w:ascii="Calibri" w:eastAsia="Times New Roman" w:hAnsi="Calibri" w:cs="Times New Roman"/>
          <w:bCs/>
          <w:sz w:val="24"/>
          <w:szCs w:val="24"/>
        </w:rPr>
        <w:t>44</w:t>
      </w:r>
      <w:r w:rsidRPr="00DF679C">
        <w:rPr>
          <w:rFonts w:ascii="Calibri" w:eastAsia="Times New Roman" w:hAnsi="Calibri" w:cs="Times New Roman"/>
          <w:bCs/>
          <w:sz w:val="24"/>
          <w:szCs w:val="24"/>
        </w:rPr>
        <w:t xml:space="preserve"> kn na ime</w:t>
      </w:r>
      <w:r w:rsidR="00E542FE" w:rsidRPr="00DF679C">
        <w:rPr>
          <w:rFonts w:ascii="Calibri" w:eastAsia="Times New Roman" w:hAnsi="Calibri" w:cs="Times New Roman"/>
          <w:bCs/>
          <w:sz w:val="24"/>
          <w:szCs w:val="24"/>
        </w:rPr>
        <w:t xml:space="preserve"> obračunate amortizacije (u 201</w:t>
      </w:r>
      <w:r w:rsidR="007C0084" w:rsidRPr="00DF679C">
        <w:rPr>
          <w:rFonts w:ascii="Calibri" w:eastAsia="Times New Roman" w:hAnsi="Calibri" w:cs="Times New Roman"/>
          <w:bCs/>
          <w:sz w:val="24"/>
          <w:szCs w:val="24"/>
        </w:rPr>
        <w:t>9</w:t>
      </w:r>
      <w:r w:rsidRPr="00DF679C">
        <w:rPr>
          <w:rFonts w:ascii="Calibri" w:eastAsia="Times New Roman" w:hAnsi="Calibri" w:cs="Times New Roman"/>
          <w:bCs/>
          <w:sz w:val="24"/>
          <w:szCs w:val="24"/>
        </w:rPr>
        <w:t xml:space="preserve">. godini </w:t>
      </w:r>
      <w:r w:rsidR="00E542FE" w:rsidRPr="00DF679C">
        <w:rPr>
          <w:rFonts w:ascii="Calibri" w:eastAsia="Times New Roman" w:hAnsi="Calibri" w:cs="Times New Roman"/>
          <w:bCs/>
          <w:sz w:val="24"/>
          <w:szCs w:val="24"/>
        </w:rPr>
        <w:t>5.54</w:t>
      </w:r>
      <w:r w:rsidR="007C0084" w:rsidRPr="00DF679C">
        <w:rPr>
          <w:rFonts w:ascii="Calibri" w:eastAsia="Times New Roman" w:hAnsi="Calibri" w:cs="Times New Roman"/>
          <w:bCs/>
          <w:sz w:val="24"/>
          <w:szCs w:val="24"/>
        </w:rPr>
        <w:t>9</w:t>
      </w:r>
      <w:r w:rsidR="00E542FE" w:rsidRPr="00DF679C">
        <w:rPr>
          <w:rFonts w:ascii="Calibri" w:eastAsia="Times New Roman" w:hAnsi="Calibri" w:cs="Times New Roman"/>
          <w:bCs/>
          <w:sz w:val="24"/>
          <w:szCs w:val="24"/>
        </w:rPr>
        <w:t>.</w:t>
      </w:r>
      <w:r w:rsidR="007C0084" w:rsidRPr="00DF679C">
        <w:rPr>
          <w:rFonts w:ascii="Calibri" w:eastAsia="Times New Roman" w:hAnsi="Calibri" w:cs="Times New Roman"/>
          <w:bCs/>
          <w:sz w:val="24"/>
          <w:szCs w:val="24"/>
        </w:rPr>
        <w:t>406,05</w:t>
      </w:r>
      <w:r w:rsidRPr="00DF679C">
        <w:rPr>
          <w:rFonts w:ascii="Calibri" w:eastAsia="Times New Roman" w:hAnsi="Calibri" w:cs="Times New Roman"/>
          <w:bCs/>
          <w:sz w:val="24"/>
          <w:szCs w:val="24"/>
        </w:rPr>
        <w:t xml:space="preserve"> kn).</w:t>
      </w:r>
    </w:p>
    <w:p w14:paraId="5C3DCA26" w14:textId="77777777" w:rsidR="00793ECD" w:rsidRPr="00DF679C" w:rsidRDefault="00793ECD" w:rsidP="003442D8">
      <w:pPr>
        <w:spacing w:after="0" w:line="240" w:lineRule="auto"/>
        <w:ind w:right="92"/>
        <w:jc w:val="both"/>
        <w:rPr>
          <w:rFonts w:ascii="Calibri" w:eastAsia="Times New Roman" w:hAnsi="Calibri" w:cs="Times New Roman"/>
          <w:b/>
          <w:sz w:val="24"/>
          <w:szCs w:val="24"/>
        </w:rPr>
      </w:pPr>
    </w:p>
    <w:p w14:paraId="49810B04" w14:textId="77777777" w:rsidR="003442D8" w:rsidRPr="00DF679C" w:rsidRDefault="003442D8" w:rsidP="00F8554F">
      <w:pPr>
        <w:numPr>
          <w:ilvl w:val="0"/>
          <w:numId w:val="6"/>
        </w:numPr>
        <w:spacing w:after="0" w:line="240" w:lineRule="auto"/>
        <w:ind w:right="92"/>
        <w:jc w:val="both"/>
        <w:rPr>
          <w:rFonts w:ascii="Calibri" w:eastAsia="Times New Roman" w:hAnsi="Calibri" w:cs="Times New Roman"/>
          <w:b/>
          <w:sz w:val="24"/>
          <w:szCs w:val="24"/>
        </w:rPr>
      </w:pPr>
      <w:r w:rsidRPr="00DF679C">
        <w:rPr>
          <w:rFonts w:ascii="Calibri" w:eastAsia="Times New Roman" w:hAnsi="Calibri" w:cs="Times New Roman"/>
          <w:b/>
          <w:sz w:val="24"/>
          <w:szCs w:val="24"/>
        </w:rPr>
        <w:t xml:space="preserve">Naknada za razvoj </w:t>
      </w:r>
    </w:p>
    <w:p w14:paraId="769071EA" w14:textId="77777777" w:rsidR="003442D8" w:rsidRPr="00DF679C" w:rsidRDefault="003442D8" w:rsidP="003442D8">
      <w:pPr>
        <w:spacing w:after="0" w:line="240" w:lineRule="auto"/>
        <w:ind w:left="360" w:right="92"/>
        <w:jc w:val="both"/>
        <w:rPr>
          <w:rFonts w:ascii="Calibri" w:eastAsia="Times New Roman" w:hAnsi="Calibri" w:cs="Times New Roman"/>
          <w:sz w:val="24"/>
          <w:szCs w:val="24"/>
        </w:rPr>
      </w:pPr>
    </w:p>
    <w:p w14:paraId="1E6F1991" w14:textId="2A5AD312" w:rsidR="003442D8" w:rsidRPr="00DF679C" w:rsidRDefault="003442D8" w:rsidP="003442D8">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b/>
          <w:iCs/>
          <w:sz w:val="24"/>
          <w:szCs w:val="24"/>
        </w:rPr>
        <w:t>/i/</w:t>
      </w:r>
      <w:r w:rsidRPr="00DF679C">
        <w:rPr>
          <w:rFonts w:ascii="Calibri" w:eastAsia="Times New Roman" w:hAnsi="Calibri" w:cs="Times New Roman"/>
          <w:b/>
          <w:iCs/>
          <w:sz w:val="16"/>
          <w:szCs w:val="16"/>
        </w:rPr>
        <w:tab/>
      </w:r>
      <w:r w:rsidRPr="00DF679C">
        <w:rPr>
          <w:rFonts w:ascii="Calibri" w:eastAsia="Times New Roman" w:hAnsi="Calibri" w:cs="Times New Roman"/>
          <w:sz w:val="24"/>
          <w:szCs w:val="24"/>
        </w:rPr>
        <w:t>Temeljem Zakona o financiranju vodnog gospodarstva i odluka JLS, od 01.</w:t>
      </w:r>
      <w:r w:rsidR="00BA1DFC" w:rsidRPr="00DF679C">
        <w:rPr>
          <w:rFonts w:ascii="Calibri" w:eastAsia="Times New Roman" w:hAnsi="Calibri" w:cs="Times New Roman"/>
          <w:sz w:val="24"/>
          <w:szCs w:val="24"/>
        </w:rPr>
        <w:t xml:space="preserve"> </w:t>
      </w:r>
      <w:r w:rsidRPr="00DF679C">
        <w:rPr>
          <w:rFonts w:ascii="Calibri" w:eastAsia="Times New Roman" w:hAnsi="Calibri" w:cs="Times New Roman"/>
          <w:sz w:val="24"/>
          <w:szCs w:val="24"/>
        </w:rPr>
        <w:t>lipnja 2010. godine, uz cijenu vodnih usluga, obračunava se i naplaćuje naknada za razvoj koja predstavlja izvor financiranja za izgradnju kanalizacijskih kolektora</w:t>
      </w:r>
      <w:r w:rsidR="00BA1DFC" w:rsidRPr="00DF679C">
        <w:rPr>
          <w:rFonts w:ascii="Calibri" w:eastAsia="Times New Roman" w:hAnsi="Calibri" w:cs="Times New Roman"/>
          <w:sz w:val="24"/>
          <w:szCs w:val="24"/>
        </w:rPr>
        <w:t>,</w:t>
      </w:r>
      <w:r w:rsidRPr="00DF679C">
        <w:rPr>
          <w:rFonts w:ascii="Calibri" w:eastAsia="Times New Roman" w:hAnsi="Calibri" w:cs="Times New Roman"/>
          <w:sz w:val="24"/>
          <w:szCs w:val="24"/>
        </w:rPr>
        <w:t xml:space="preserve"> uređaja za pročišćavanje otpadnih voda i ispusta na području Grada Krk, Općina: Omišalj i Malinska-Dubašnica (Projekt Jadran) </w:t>
      </w:r>
      <w:r w:rsidR="00BA1DFC" w:rsidRPr="00DF679C">
        <w:rPr>
          <w:rFonts w:ascii="Calibri" w:eastAsia="Times New Roman" w:hAnsi="Calibri" w:cs="Times New Roman"/>
          <w:sz w:val="24"/>
          <w:szCs w:val="24"/>
        </w:rPr>
        <w:t xml:space="preserve">te </w:t>
      </w:r>
      <w:r w:rsidRPr="00DF679C">
        <w:rPr>
          <w:rFonts w:ascii="Calibri" w:eastAsia="Times New Roman" w:hAnsi="Calibri" w:cs="Times New Roman"/>
          <w:sz w:val="24"/>
          <w:szCs w:val="24"/>
        </w:rPr>
        <w:t>za izgradnju vodovodne i kanalizacijske infrastrukture na područj</w:t>
      </w:r>
      <w:r w:rsidR="00A90B8A" w:rsidRPr="00DF679C">
        <w:rPr>
          <w:rFonts w:ascii="Calibri" w:eastAsia="Times New Roman" w:hAnsi="Calibri" w:cs="Times New Roman"/>
          <w:sz w:val="24"/>
          <w:szCs w:val="24"/>
        </w:rPr>
        <w:t>ima</w:t>
      </w:r>
      <w:r w:rsidRPr="00DF679C">
        <w:rPr>
          <w:rFonts w:ascii="Calibri" w:eastAsia="Times New Roman" w:hAnsi="Calibri" w:cs="Times New Roman"/>
          <w:sz w:val="24"/>
          <w:szCs w:val="24"/>
        </w:rPr>
        <w:t xml:space="preserve"> </w:t>
      </w:r>
      <w:r w:rsidR="00A90B8A" w:rsidRPr="00DF679C">
        <w:rPr>
          <w:rFonts w:ascii="Calibri" w:eastAsia="Times New Roman" w:hAnsi="Calibri" w:cs="Times New Roman"/>
          <w:sz w:val="24"/>
          <w:szCs w:val="24"/>
        </w:rPr>
        <w:t>svih sedam jedinica</w:t>
      </w:r>
      <w:r w:rsidRPr="00DF679C">
        <w:rPr>
          <w:rFonts w:ascii="Calibri" w:eastAsia="Times New Roman" w:hAnsi="Calibri" w:cs="Times New Roman"/>
          <w:sz w:val="24"/>
          <w:szCs w:val="24"/>
        </w:rPr>
        <w:t xml:space="preserve"> </w:t>
      </w:r>
      <w:r w:rsidR="00A90B8A" w:rsidRPr="00DF679C">
        <w:rPr>
          <w:rFonts w:ascii="Calibri" w:eastAsia="Times New Roman" w:hAnsi="Calibri" w:cs="Times New Roman"/>
          <w:sz w:val="24"/>
          <w:szCs w:val="24"/>
        </w:rPr>
        <w:t>lokalne samouprave otoka Krka.</w:t>
      </w:r>
    </w:p>
    <w:p w14:paraId="27A05DEC" w14:textId="77777777" w:rsidR="003D2E77" w:rsidRPr="00DF679C" w:rsidRDefault="003D2E77" w:rsidP="003442D8">
      <w:pPr>
        <w:spacing w:after="0" w:line="240" w:lineRule="auto"/>
        <w:ind w:right="92"/>
        <w:jc w:val="both"/>
        <w:rPr>
          <w:rFonts w:ascii="Calibri" w:eastAsia="Times New Roman" w:hAnsi="Calibri" w:cs="Times New Roman"/>
          <w:sz w:val="24"/>
          <w:szCs w:val="24"/>
        </w:rPr>
      </w:pPr>
    </w:p>
    <w:p w14:paraId="4E3FFFF9" w14:textId="6AAC90F9" w:rsidR="003442D8" w:rsidRPr="00DF679C" w:rsidRDefault="003442D8" w:rsidP="003442D8">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b/>
          <w:sz w:val="24"/>
          <w:szCs w:val="24"/>
        </w:rPr>
        <w:lastRenderedPageBreak/>
        <w:t>/ii/</w:t>
      </w:r>
      <w:r w:rsidRPr="00DF679C">
        <w:rPr>
          <w:rFonts w:ascii="Calibri" w:eastAsia="Times New Roman" w:hAnsi="Calibri" w:cs="Times New Roman"/>
          <w:sz w:val="24"/>
          <w:szCs w:val="24"/>
        </w:rPr>
        <w:tab/>
        <w:t>Naknada z</w:t>
      </w:r>
      <w:r w:rsidR="00217F55" w:rsidRPr="00DF679C">
        <w:rPr>
          <w:rFonts w:ascii="Calibri" w:eastAsia="Times New Roman" w:hAnsi="Calibri" w:cs="Times New Roman"/>
          <w:sz w:val="24"/>
          <w:szCs w:val="24"/>
        </w:rPr>
        <w:t>a razvoj - promjene tijekom 20</w:t>
      </w:r>
      <w:r w:rsidR="00726833">
        <w:rPr>
          <w:rFonts w:ascii="Calibri" w:eastAsia="Times New Roman" w:hAnsi="Calibri" w:cs="Times New Roman"/>
          <w:sz w:val="24"/>
          <w:szCs w:val="24"/>
        </w:rPr>
        <w:t>20</w:t>
      </w:r>
      <w:r w:rsidRPr="00DF679C">
        <w:rPr>
          <w:rFonts w:ascii="Calibri" w:eastAsia="Times New Roman" w:hAnsi="Calibri" w:cs="Times New Roman"/>
          <w:sz w:val="24"/>
          <w:szCs w:val="24"/>
        </w:rPr>
        <w:t>. godine:</w:t>
      </w:r>
    </w:p>
    <w:p w14:paraId="084BDA1D" w14:textId="77777777" w:rsidR="003442D8" w:rsidRPr="00DF679C" w:rsidRDefault="003442D8" w:rsidP="003442D8">
      <w:pPr>
        <w:spacing w:after="0" w:line="240" w:lineRule="auto"/>
        <w:ind w:right="92"/>
        <w:jc w:val="both"/>
        <w:rPr>
          <w:rFonts w:ascii="Calibri" w:eastAsia="Times New Roman" w:hAnsi="Calibri" w:cs="Times New Roman"/>
          <w:sz w:val="24"/>
          <w:szCs w:val="24"/>
        </w:rPr>
      </w:pPr>
    </w:p>
    <w:tbl>
      <w:tblPr>
        <w:tblW w:w="9729" w:type="dxa"/>
        <w:tblInd w:w="108" w:type="dxa"/>
        <w:tblLook w:val="04A0" w:firstRow="1" w:lastRow="0" w:firstColumn="1" w:lastColumn="0" w:noHBand="0" w:noVBand="1"/>
      </w:tblPr>
      <w:tblGrid>
        <w:gridCol w:w="2508"/>
        <w:gridCol w:w="1506"/>
        <w:gridCol w:w="1551"/>
        <w:gridCol w:w="1361"/>
        <w:gridCol w:w="2367"/>
        <w:gridCol w:w="436"/>
      </w:tblGrid>
      <w:tr w:rsidR="00205649" w:rsidRPr="00DF679C" w14:paraId="61FAFA7D" w14:textId="77777777" w:rsidTr="00A90B8A">
        <w:trPr>
          <w:trHeight w:val="300"/>
        </w:trPr>
        <w:tc>
          <w:tcPr>
            <w:tcW w:w="2508" w:type="dxa"/>
            <w:tcBorders>
              <w:top w:val="nil"/>
              <w:left w:val="nil"/>
              <w:bottom w:val="single" w:sz="4" w:space="0" w:color="auto"/>
              <w:right w:val="nil"/>
            </w:tcBorders>
            <w:shd w:val="clear" w:color="auto" w:fill="auto"/>
            <w:noWrap/>
            <w:vAlign w:val="bottom"/>
            <w:hideMark/>
          </w:tcPr>
          <w:p w14:paraId="60FB382A" w14:textId="77F0E0D1" w:rsidR="00205649" w:rsidRPr="00DF679C" w:rsidRDefault="00205649" w:rsidP="00205649">
            <w:pPr>
              <w:spacing w:after="0" w:line="240" w:lineRule="auto"/>
              <w:rPr>
                <w:rFonts w:ascii="Calibri" w:eastAsia="Times New Roman" w:hAnsi="Calibri" w:cs="Times New Roman"/>
                <w:b/>
                <w:bCs/>
                <w:lang w:eastAsia="hr-HR"/>
              </w:rPr>
            </w:pPr>
            <w:r w:rsidRPr="00DF679C">
              <w:rPr>
                <w:rFonts w:ascii="Calibri" w:eastAsia="Times New Roman" w:hAnsi="Calibri" w:cs="Times New Roman"/>
                <w:b/>
                <w:bCs/>
                <w:lang w:eastAsia="hr-HR"/>
              </w:rPr>
              <w:t>2010. -201</w:t>
            </w:r>
            <w:r w:rsidR="00A90B8A" w:rsidRPr="00DF679C">
              <w:rPr>
                <w:rFonts w:ascii="Calibri" w:eastAsia="Times New Roman" w:hAnsi="Calibri" w:cs="Times New Roman"/>
                <w:b/>
                <w:bCs/>
                <w:lang w:eastAsia="hr-HR"/>
              </w:rPr>
              <w:t>9</w:t>
            </w:r>
            <w:r w:rsidRPr="00DF679C">
              <w:rPr>
                <w:rFonts w:ascii="Calibri" w:eastAsia="Times New Roman" w:hAnsi="Calibri" w:cs="Times New Roman"/>
                <w:b/>
                <w:bCs/>
                <w:lang w:eastAsia="hr-HR"/>
              </w:rPr>
              <w:t>. godina</w:t>
            </w:r>
          </w:p>
        </w:tc>
        <w:tc>
          <w:tcPr>
            <w:tcW w:w="1506" w:type="dxa"/>
            <w:tcBorders>
              <w:top w:val="nil"/>
              <w:left w:val="nil"/>
              <w:bottom w:val="single" w:sz="4" w:space="0" w:color="auto"/>
              <w:right w:val="nil"/>
            </w:tcBorders>
            <w:shd w:val="clear" w:color="auto" w:fill="auto"/>
            <w:noWrap/>
            <w:vAlign w:val="bottom"/>
            <w:hideMark/>
          </w:tcPr>
          <w:p w14:paraId="20A694DA" w14:textId="77777777" w:rsidR="00205649" w:rsidRPr="00DF679C" w:rsidRDefault="00205649" w:rsidP="00205649">
            <w:pPr>
              <w:spacing w:after="0" w:line="240" w:lineRule="auto"/>
              <w:jc w:val="right"/>
              <w:rPr>
                <w:rFonts w:ascii="Calibri" w:eastAsia="Times New Roman" w:hAnsi="Calibri" w:cs="Times New Roman"/>
                <w:lang w:eastAsia="hr-HR"/>
              </w:rPr>
            </w:pPr>
            <w:r w:rsidRPr="00DF679C">
              <w:rPr>
                <w:rFonts w:ascii="Calibri" w:eastAsia="Times New Roman" w:hAnsi="Calibri" w:cs="Times New Roman"/>
                <w:lang w:eastAsia="hr-HR"/>
              </w:rPr>
              <w:t>Fakturirano</w:t>
            </w:r>
          </w:p>
        </w:tc>
        <w:tc>
          <w:tcPr>
            <w:tcW w:w="1551" w:type="dxa"/>
            <w:tcBorders>
              <w:top w:val="nil"/>
              <w:left w:val="nil"/>
              <w:bottom w:val="single" w:sz="4" w:space="0" w:color="auto"/>
              <w:right w:val="nil"/>
            </w:tcBorders>
            <w:shd w:val="clear" w:color="auto" w:fill="auto"/>
            <w:noWrap/>
            <w:vAlign w:val="bottom"/>
            <w:hideMark/>
          </w:tcPr>
          <w:p w14:paraId="31A930C2" w14:textId="77777777" w:rsidR="00205649" w:rsidRPr="00DF679C" w:rsidRDefault="00205649" w:rsidP="00205649">
            <w:pPr>
              <w:spacing w:after="0" w:line="240" w:lineRule="auto"/>
              <w:jc w:val="right"/>
              <w:rPr>
                <w:rFonts w:ascii="Calibri" w:eastAsia="Times New Roman" w:hAnsi="Calibri" w:cs="Times New Roman"/>
                <w:lang w:eastAsia="hr-HR"/>
              </w:rPr>
            </w:pPr>
            <w:r w:rsidRPr="00DF679C">
              <w:rPr>
                <w:rFonts w:ascii="Calibri" w:eastAsia="Times New Roman" w:hAnsi="Calibri" w:cs="Times New Roman"/>
                <w:lang w:eastAsia="hr-HR"/>
              </w:rPr>
              <w:t xml:space="preserve">Naplaćeno </w:t>
            </w:r>
          </w:p>
        </w:tc>
        <w:tc>
          <w:tcPr>
            <w:tcW w:w="1361" w:type="dxa"/>
            <w:tcBorders>
              <w:top w:val="nil"/>
              <w:left w:val="nil"/>
              <w:bottom w:val="single" w:sz="4" w:space="0" w:color="auto"/>
              <w:right w:val="nil"/>
            </w:tcBorders>
            <w:shd w:val="clear" w:color="auto" w:fill="auto"/>
            <w:noWrap/>
            <w:vAlign w:val="bottom"/>
            <w:hideMark/>
          </w:tcPr>
          <w:p w14:paraId="42C059D8" w14:textId="77777777" w:rsidR="00205649" w:rsidRPr="00DF679C" w:rsidRDefault="00205649" w:rsidP="00205649">
            <w:pPr>
              <w:spacing w:after="0" w:line="240" w:lineRule="auto"/>
              <w:jc w:val="right"/>
              <w:rPr>
                <w:rFonts w:ascii="Calibri" w:eastAsia="Times New Roman" w:hAnsi="Calibri" w:cs="Times New Roman"/>
                <w:lang w:eastAsia="hr-HR"/>
              </w:rPr>
            </w:pPr>
            <w:r w:rsidRPr="00DF679C">
              <w:rPr>
                <w:rFonts w:ascii="Calibri" w:eastAsia="Times New Roman" w:hAnsi="Calibri" w:cs="Times New Roman"/>
                <w:lang w:eastAsia="hr-HR"/>
              </w:rPr>
              <w:t>Otpisano</w:t>
            </w:r>
          </w:p>
        </w:tc>
        <w:tc>
          <w:tcPr>
            <w:tcW w:w="2367" w:type="dxa"/>
            <w:tcBorders>
              <w:top w:val="nil"/>
              <w:left w:val="nil"/>
              <w:bottom w:val="single" w:sz="4" w:space="0" w:color="auto"/>
              <w:right w:val="nil"/>
            </w:tcBorders>
            <w:shd w:val="clear" w:color="auto" w:fill="auto"/>
            <w:noWrap/>
            <w:vAlign w:val="bottom"/>
            <w:hideMark/>
          </w:tcPr>
          <w:p w14:paraId="6843855D" w14:textId="77777777" w:rsidR="00205649" w:rsidRPr="00DF679C" w:rsidRDefault="00205649" w:rsidP="00205649">
            <w:pPr>
              <w:spacing w:after="0" w:line="240" w:lineRule="auto"/>
              <w:jc w:val="right"/>
              <w:rPr>
                <w:rFonts w:ascii="Calibri" w:eastAsia="Times New Roman" w:hAnsi="Calibri" w:cs="Times New Roman"/>
                <w:lang w:eastAsia="hr-HR"/>
              </w:rPr>
            </w:pPr>
            <w:r w:rsidRPr="00DF679C">
              <w:rPr>
                <w:rFonts w:ascii="Calibri" w:eastAsia="Times New Roman" w:hAnsi="Calibri" w:cs="Times New Roman"/>
                <w:lang w:eastAsia="hr-HR"/>
              </w:rPr>
              <w:t>Utrošeno</w:t>
            </w:r>
          </w:p>
        </w:tc>
        <w:tc>
          <w:tcPr>
            <w:tcW w:w="436" w:type="dxa"/>
            <w:tcBorders>
              <w:top w:val="nil"/>
              <w:left w:val="nil"/>
              <w:bottom w:val="nil"/>
              <w:right w:val="nil"/>
            </w:tcBorders>
            <w:shd w:val="clear" w:color="auto" w:fill="auto"/>
            <w:noWrap/>
            <w:vAlign w:val="bottom"/>
            <w:hideMark/>
          </w:tcPr>
          <w:p w14:paraId="01602F15" w14:textId="77777777" w:rsidR="00205649" w:rsidRPr="00DF679C" w:rsidRDefault="00205649" w:rsidP="00205649">
            <w:pPr>
              <w:spacing w:after="0" w:line="240" w:lineRule="auto"/>
              <w:rPr>
                <w:rFonts w:ascii="Calibri" w:eastAsia="Times New Roman" w:hAnsi="Calibri" w:cs="Times New Roman"/>
                <w:lang w:eastAsia="hr-HR"/>
              </w:rPr>
            </w:pPr>
          </w:p>
        </w:tc>
      </w:tr>
      <w:tr w:rsidR="00A90B8A" w:rsidRPr="00DF679C" w14:paraId="51033D47" w14:textId="77777777" w:rsidTr="00A90B8A">
        <w:trPr>
          <w:trHeight w:val="300"/>
        </w:trPr>
        <w:tc>
          <w:tcPr>
            <w:tcW w:w="2508" w:type="dxa"/>
            <w:tcBorders>
              <w:top w:val="nil"/>
              <w:left w:val="nil"/>
              <w:bottom w:val="nil"/>
              <w:right w:val="nil"/>
            </w:tcBorders>
            <w:shd w:val="clear" w:color="auto" w:fill="auto"/>
            <w:noWrap/>
            <w:vAlign w:val="bottom"/>
            <w:hideMark/>
          </w:tcPr>
          <w:p w14:paraId="746880A6"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Projekt Jadran</w:t>
            </w:r>
          </w:p>
        </w:tc>
        <w:tc>
          <w:tcPr>
            <w:tcW w:w="1506" w:type="dxa"/>
            <w:tcBorders>
              <w:top w:val="nil"/>
              <w:left w:val="nil"/>
              <w:bottom w:val="nil"/>
              <w:right w:val="nil"/>
            </w:tcBorders>
            <w:shd w:val="clear" w:color="auto" w:fill="auto"/>
            <w:noWrap/>
            <w:vAlign w:val="bottom"/>
            <w:hideMark/>
          </w:tcPr>
          <w:p w14:paraId="681C538B" w14:textId="13E482E0" w:rsidR="00A90B8A" w:rsidRPr="00DF679C" w:rsidRDefault="00A90B8A" w:rsidP="00A90B8A">
            <w:pPr>
              <w:spacing w:after="0" w:line="240" w:lineRule="auto"/>
              <w:jc w:val="right"/>
              <w:rPr>
                <w:rFonts w:ascii="Calibri" w:eastAsia="Times New Roman" w:hAnsi="Calibri" w:cs="Times New Roman"/>
                <w:lang w:eastAsia="hr-HR"/>
              </w:rPr>
            </w:pPr>
            <w:r w:rsidRPr="00DF679C">
              <w:t>43.485.713,41</w:t>
            </w:r>
          </w:p>
        </w:tc>
        <w:tc>
          <w:tcPr>
            <w:tcW w:w="1551" w:type="dxa"/>
            <w:tcBorders>
              <w:top w:val="nil"/>
              <w:left w:val="nil"/>
              <w:bottom w:val="nil"/>
              <w:right w:val="nil"/>
            </w:tcBorders>
            <w:shd w:val="clear" w:color="auto" w:fill="auto"/>
            <w:noWrap/>
            <w:vAlign w:val="bottom"/>
            <w:hideMark/>
          </w:tcPr>
          <w:p w14:paraId="21BDE36C" w14:textId="2C526205" w:rsidR="00A90B8A" w:rsidRPr="00DF679C" w:rsidRDefault="00A90B8A" w:rsidP="00A90B8A">
            <w:pPr>
              <w:spacing w:after="0" w:line="240" w:lineRule="auto"/>
              <w:jc w:val="right"/>
              <w:rPr>
                <w:rFonts w:ascii="Calibri" w:eastAsia="Times New Roman" w:hAnsi="Calibri" w:cs="Times New Roman"/>
                <w:lang w:eastAsia="hr-HR"/>
              </w:rPr>
            </w:pPr>
            <w:r w:rsidRPr="00DF679C">
              <w:t>42.903.507,01</w:t>
            </w:r>
          </w:p>
        </w:tc>
        <w:tc>
          <w:tcPr>
            <w:tcW w:w="1361" w:type="dxa"/>
            <w:tcBorders>
              <w:top w:val="single" w:sz="4" w:space="0" w:color="auto"/>
              <w:left w:val="nil"/>
              <w:bottom w:val="nil"/>
              <w:right w:val="nil"/>
            </w:tcBorders>
            <w:shd w:val="clear" w:color="auto" w:fill="auto"/>
            <w:noWrap/>
            <w:vAlign w:val="bottom"/>
            <w:hideMark/>
          </w:tcPr>
          <w:p w14:paraId="0CCA7D9B" w14:textId="2F20995D" w:rsidR="00A90B8A" w:rsidRPr="00DF679C" w:rsidRDefault="00A90B8A" w:rsidP="00A90B8A">
            <w:pPr>
              <w:spacing w:after="0" w:line="240" w:lineRule="auto"/>
              <w:jc w:val="right"/>
              <w:rPr>
                <w:rFonts w:ascii="Calibri" w:eastAsia="Times New Roman" w:hAnsi="Calibri" w:cs="Times New Roman"/>
                <w:lang w:eastAsia="hr-HR"/>
              </w:rPr>
            </w:pPr>
            <w:r w:rsidRPr="00DF679C">
              <w:t>(106.961,91)</w:t>
            </w:r>
          </w:p>
        </w:tc>
        <w:tc>
          <w:tcPr>
            <w:tcW w:w="2367" w:type="dxa"/>
            <w:tcBorders>
              <w:top w:val="nil"/>
              <w:left w:val="nil"/>
              <w:bottom w:val="nil"/>
              <w:right w:val="nil"/>
            </w:tcBorders>
            <w:shd w:val="clear" w:color="auto" w:fill="auto"/>
            <w:noWrap/>
            <w:vAlign w:val="bottom"/>
            <w:hideMark/>
          </w:tcPr>
          <w:p w14:paraId="4F414ED7" w14:textId="225A9ECE" w:rsidR="00A90B8A" w:rsidRPr="00DF679C" w:rsidRDefault="00A90B8A" w:rsidP="00A90B8A">
            <w:pPr>
              <w:spacing w:after="0" w:line="240" w:lineRule="auto"/>
              <w:jc w:val="right"/>
              <w:rPr>
                <w:rFonts w:ascii="Calibri" w:eastAsia="Times New Roman" w:hAnsi="Calibri" w:cs="Times New Roman"/>
                <w:lang w:eastAsia="hr-HR"/>
              </w:rPr>
            </w:pPr>
            <w:r w:rsidRPr="00DF679C">
              <w:t>(31.567.407,63)</w:t>
            </w:r>
          </w:p>
        </w:tc>
        <w:tc>
          <w:tcPr>
            <w:tcW w:w="436" w:type="dxa"/>
            <w:tcBorders>
              <w:top w:val="nil"/>
              <w:left w:val="nil"/>
              <w:bottom w:val="nil"/>
              <w:right w:val="nil"/>
            </w:tcBorders>
            <w:shd w:val="clear" w:color="auto" w:fill="auto"/>
            <w:noWrap/>
            <w:vAlign w:val="bottom"/>
            <w:hideMark/>
          </w:tcPr>
          <w:p w14:paraId="177A7C67"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65ED626D" w14:textId="77777777" w:rsidTr="00A90B8A">
        <w:trPr>
          <w:trHeight w:val="300"/>
        </w:trPr>
        <w:tc>
          <w:tcPr>
            <w:tcW w:w="2508" w:type="dxa"/>
            <w:tcBorders>
              <w:top w:val="nil"/>
              <w:left w:val="nil"/>
              <w:bottom w:val="nil"/>
              <w:right w:val="nil"/>
            </w:tcBorders>
            <w:shd w:val="clear" w:color="auto" w:fill="auto"/>
            <w:noWrap/>
            <w:vAlign w:val="bottom"/>
            <w:hideMark/>
          </w:tcPr>
          <w:p w14:paraId="0452C009"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-kupci</w:t>
            </w:r>
          </w:p>
        </w:tc>
        <w:tc>
          <w:tcPr>
            <w:tcW w:w="1506" w:type="dxa"/>
            <w:tcBorders>
              <w:top w:val="single" w:sz="4" w:space="0" w:color="auto"/>
              <w:left w:val="single" w:sz="4" w:space="0" w:color="auto"/>
              <w:bottom w:val="nil"/>
              <w:right w:val="nil"/>
            </w:tcBorders>
            <w:shd w:val="clear" w:color="auto" w:fill="auto"/>
            <w:noWrap/>
            <w:vAlign w:val="bottom"/>
            <w:hideMark/>
          </w:tcPr>
          <w:p w14:paraId="759DDAAE" w14:textId="35870E2A" w:rsidR="00A90B8A" w:rsidRPr="00DF679C" w:rsidRDefault="00A90B8A" w:rsidP="00A90B8A">
            <w:pPr>
              <w:spacing w:after="0" w:line="240" w:lineRule="auto"/>
              <w:jc w:val="right"/>
              <w:rPr>
                <w:rFonts w:ascii="Calibri" w:eastAsia="Times New Roman" w:hAnsi="Calibri" w:cs="Times New Roman"/>
                <w:lang w:eastAsia="hr-HR"/>
              </w:rPr>
            </w:pPr>
            <w:r w:rsidRPr="00DF679C">
              <w:t>34.887.916,09</w:t>
            </w:r>
          </w:p>
        </w:tc>
        <w:tc>
          <w:tcPr>
            <w:tcW w:w="1551" w:type="dxa"/>
            <w:tcBorders>
              <w:top w:val="single" w:sz="4" w:space="0" w:color="auto"/>
              <w:left w:val="nil"/>
              <w:bottom w:val="nil"/>
              <w:right w:val="nil"/>
            </w:tcBorders>
            <w:shd w:val="clear" w:color="auto" w:fill="auto"/>
            <w:noWrap/>
            <w:vAlign w:val="bottom"/>
            <w:hideMark/>
          </w:tcPr>
          <w:p w14:paraId="43DB3501" w14:textId="74761BAF" w:rsidR="00A90B8A" w:rsidRPr="00DF679C" w:rsidRDefault="00A90B8A" w:rsidP="00A90B8A">
            <w:pPr>
              <w:spacing w:after="0" w:line="240" w:lineRule="auto"/>
              <w:jc w:val="right"/>
              <w:rPr>
                <w:rFonts w:ascii="Calibri" w:eastAsia="Times New Roman" w:hAnsi="Calibri" w:cs="Times New Roman"/>
                <w:lang w:eastAsia="hr-HR"/>
              </w:rPr>
            </w:pPr>
            <w:r w:rsidRPr="00DF679C">
              <w:t>34.305.709,69</w:t>
            </w:r>
          </w:p>
        </w:tc>
        <w:tc>
          <w:tcPr>
            <w:tcW w:w="1361" w:type="dxa"/>
            <w:tcBorders>
              <w:top w:val="single" w:sz="4" w:space="0" w:color="auto"/>
              <w:left w:val="nil"/>
              <w:bottom w:val="nil"/>
              <w:right w:val="nil"/>
            </w:tcBorders>
            <w:shd w:val="clear" w:color="auto" w:fill="auto"/>
            <w:noWrap/>
            <w:vAlign w:val="bottom"/>
            <w:hideMark/>
          </w:tcPr>
          <w:p w14:paraId="4B8D4180" w14:textId="13A43F5E" w:rsidR="00A90B8A" w:rsidRPr="00DF679C" w:rsidRDefault="00A90B8A" w:rsidP="00A90B8A">
            <w:pPr>
              <w:spacing w:after="0" w:line="240" w:lineRule="auto"/>
              <w:jc w:val="right"/>
              <w:rPr>
                <w:rFonts w:ascii="Calibri" w:eastAsia="Times New Roman" w:hAnsi="Calibri" w:cs="Times New Roman"/>
                <w:lang w:eastAsia="hr-HR"/>
              </w:rPr>
            </w:pPr>
            <w:r w:rsidRPr="00DF679C">
              <w:t>(106.961,91)</w:t>
            </w:r>
          </w:p>
        </w:tc>
        <w:tc>
          <w:tcPr>
            <w:tcW w:w="2367" w:type="dxa"/>
            <w:tcBorders>
              <w:top w:val="single" w:sz="4" w:space="0" w:color="auto"/>
              <w:left w:val="nil"/>
              <w:bottom w:val="nil"/>
              <w:right w:val="nil"/>
            </w:tcBorders>
            <w:shd w:val="clear" w:color="auto" w:fill="auto"/>
            <w:noWrap/>
            <w:vAlign w:val="bottom"/>
            <w:hideMark/>
          </w:tcPr>
          <w:p w14:paraId="0516B90D" w14:textId="20E2DD1F" w:rsidR="00A90B8A" w:rsidRPr="00DF679C" w:rsidRDefault="00A90B8A" w:rsidP="00A90B8A">
            <w:pPr>
              <w:spacing w:after="0" w:line="240" w:lineRule="auto"/>
              <w:jc w:val="right"/>
              <w:rPr>
                <w:rFonts w:ascii="Calibri" w:eastAsia="Times New Roman" w:hAnsi="Calibri" w:cs="Times New Roman"/>
                <w:lang w:eastAsia="hr-HR"/>
              </w:rPr>
            </w:pPr>
            <w:r w:rsidRPr="00DF679C">
              <w:t>0,00</w:t>
            </w:r>
          </w:p>
        </w:tc>
        <w:tc>
          <w:tcPr>
            <w:tcW w:w="436" w:type="dxa"/>
            <w:tcBorders>
              <w:top w:val="nil"/>
              <w:left w:val="nil"/>
              <w:bottom w:val="nil"/>
              <w:right w:val="nil"/>
            </w:tcBorders>
            <w:shd w:val="clear" w:color="auto" w:fill="auto"/>
            <w:noWrap/>
            <w:vAlign w:val="bottom"/>
            <w:hideMark/>
          </w:tcPr>
          <w:p w14:paraId="53C5CA44"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6E24C956" w14:textId="77777777" w:rsidTr="00A90B8A">
        <w:trPr>
          <w:trHeight w:val="300"/>
        </w:trPr>
        <w:tc>
          <w:tcPr>
            <w:tcW w:w="2508" w:type="dxa"/>
            <w:tcBorders>
              <w:top w:val="nil"/>
              <w:left w:val="nil"/>
              <w:bottom w:val="nil"/>
              <w:right w:val="nil"/>
            </w:tcBorders>
            <w:shd w:val="clear" w:color="auto" w:fill="auto"/>
            <w:noWrap/>
            <w:vAlign w:val="bottom"/>
            <w:hideMark/>
          </w:tcPr>
          <w:p w14:paraId="5EE5D3A0"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-subvencije JLS</w:t>
            </w:r>
          </w:p>
        </w:tc>
        <w:tc>
          <w:tcPr>
            <w:tcW w:w="1506" w:type="dxa"/>
            <w:tcBorders>
              <w:top w:val="nil"/>
              <w:left w:val="single" w:sz="4" w:space="0" w:color="auto"/>
              <w:bottom w:val="single" w:sz="4" w:space="0" w:color="auto"/>
              <w:right w:val="nil"/>
            </w:tcBorders>
            <w:shd w:val="clear" w:color="auto" w:fill="auto"/>
            <w:noWrap/>
            <w:vAlign w:val="bottom"/>
            <w:hideMark/>
          </w:tcPr>
          <w:p w14:paraId="31F48DC6" w14:textId="38E7FDA4" w:rsidR="00A90B8A" w:rsidRPr="00DF679C" w:rsidRDefault="00A90B8A" w:rsidP="00A90B8A">
            <w:pPr>
              <w:spacing w:after="0" w:line="240" w:lineRule="auto"/>
              <w:jc w:val="right"/>
              <w:rPr>
                <w:rFonts w:ascii="Calibri" w:eastAsia="Times New Roman" w:hAnsi="Calibri" w:cs="Times New Roman"/>
                <w:lang w:eastAsia="hr-HR"/>
              </w:rPr>
            </w:pPr>
            <w:r w:rsidRPr="00DF679C">
              <w:t>8.597.797,32</w:t>
            </w:r>
          </w:p>
        </w:tc>
        <w:tc>
          <w:tcPr>
            <w:tcW w:w="1551" w:type="dxa"/>
            <w:tcBorders>
              <w:top w:val="nil"/>
              <w:left w:val="nil"/>
              <w:bottom w:val="single" w:sz="4" w:space="0" w:color="auto"/>
              <w:right w:val="nil"/>
            </w:tcBorders>
            <w:shd w:val="clear" w:color="auto" w:fill="auto"/>
            <w:noWrap/>
            <w:vAlign w:val="bottom"/>
            <w:hideMark/>
          </w:tcPr>
          <w:p w14:paraId="0DEFA6F2" w14:textId="39068441" w:rsidR="00A90B8A" w:rsidRPr="00DF679C" w:rsidRDefault="00A90B8A" w:rsidP="00A90B8A">
            <w:pPr>
              <w:spacing w:after="0" w:line="240" w:lineRule="auto"/>
              <w:jc w:val="right"/>
              <w:rPr>
                <w:rFonts w:ascii="Calibri" w:eastAsia="Times New Roman" w:hAnsi="Calibri" w:cs="Times New Roman"/>
                <w:lang w:eastAsia="hr-HR"/>
              </w:rPr>
            </w:pPr>
            <w:r w:rsidRPr="00DF679C">
              <w:t>8.597.797,32</w:t>
            </w:r>
          </w:p>
        </w:tc>
        <w:tc>
          <w:tcPr>
            <w:tcW w:w="1361" w:type="dxa"/>
            <w:tcBorders>
              <w:top w:val="nil"/>
              <w:left w:val="nil"/>
              <w:bottom w:val="single" w:sz="4" w:space="0" w:color="auto"/>
              <w:right w:val="nil"/>
            </w:tcBorders>
            <w:shd w:val="clear" w:color="auto" w:fill="auto"/>
            <w:noWrap/>
            <w:vAlign w:val="bottom"/>
            <w:hideMark/>
          </w:tcPr>
          <w:p w14:paraId="3DE4465D" w14:textId="60039F27" w:rsidR="00A90B8A" w:rsidRPr="00DF679C" w:rsidRDefault="00A90B8A" w:rsidP="00A90B8A">
            <w:pPr>
              <w:spacing w:after="0" w:line="240" w:lineRule="auto"/>
              <w:jc w:val="right"/>
              <w:rPr>
                <w:rFonts w:ascii="Calibri" w:eastAsia="Times New Roman" w:hAnsi="Calibri" w:cs="Times New Roman"/>
                <w:lang w:eastAsia="hr-HR"/>
              </w:rPr>
            </w:pPr>
            <w:r w:rsidRPr="00DF679C">
              <w:t>0,00</w:t>
            </w:r>
          </w:p>
        </w:tc>
        <w:tc>
          <w:tcPr>
            <w:tcW w:w="2367" w:type="dxa"/>
            <w:tcBorders>
              <w:top w:val="nil"/>
              <w:left w:val="nil"/>
              <w:bottom w:val="single" w:sz="4" w:space="0" w:color="auto"/>
              <w:right w:val="nil"/>
            </w:tcBorders>
            <w:shd w:val="clear" w:color="auto" w:fill="auto"/>
            <w:noWrap/>
            <w:vAlign w:val="bottom"/>
            <w:hideMark/>
          </w:tcPr>
          <w:p w14:paraId="796C3D51" w14:textId="6B4A33AF" w:rsidR="00A90B8A" w:rsidRPr="00DF679C" w:rsidRDefault="00A90B8A" w:rsidP="00A90B8A">
            <w:pPr>
              <w:spacing w:after="0" w:line="240" w:lineRule="auto"/>
              <w:jc w:val="right"/>
              <w:rPr>
                <w:rFonts w:ascii="Calibri" w:eastAsia="Times New Roman" w:hAnsi="Calibri" w:cs="Times New Roman"/>
                <w:lang w:eastAsia="hr-HR"/>
              </w:rPr>
            </w:pPr>
            <w:r w:rsidRPr="00DF679C">
              <w:t>0,00</w:t>
            </w:r>
          </w:p>
        </w:tc>
        <w:tc>
          <w:tcPr>
            <w:tcW w:w="436" w:type="dxa"/>
            <w:tcBorders>
              <w:top w:val="nil"/>
              <w:left w:val="nil"/>
              <w:bottom w:val="nil"/>
              <w:right w:val="nil"/>
            </w:tcBorders>
            <w:shd w:val="clear" w:color="auto" w:fill="auto"/>
            <w:noWrap/>
            <w:vAlign w:val="bottom"/>
            <w:hideMark/>
          </w:tcPr>
          <w:p w14:paraId="48793CF8"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41091197" w14:textId="77777777" w:rsidTr="00A90B8A">
        <w:trPr>
          <w:trHeight w:val="300"/>
        </w:trPr>
        <w:tc>
          <w:tcPr>
            <w:tcW w:w="2508" w:type="dxa"/>
            <w:tcBorders>
              <w:top w:val="nil"/>
              <w:left w:val="nil"/>
              <w:bottom w:val="nil"/>
              <w:right w:val="nil"/>
            </w:tcBorders>
            <w:shd w:val="clear" w:color="auto" w:fill="auto"/>
            <w:noWrap/>
            <w:vAlign w:val="bottom"/>
            <w:hideMark/>
          </w:tcPr>
          <w:p w14:paraId="144CE0E1"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Ostali projekti</w:t>
            </w:r>
          </w:p>
        </w:tc>
        <w:tc>
          <w:tcPr>
            <w:tcW w:w="1506" w:type="dxa"/>
            <w:tcBorders>
              <w:top w:val="nil"/>
              <w:left w:val="nil"/>
              <w:bottom w:val="nil"/>
              <w:right w:val="nil"/>
            </w:tcBorders>
            <w:shd w:val="clear" w:color="auto" w:fill="auto"/>
            <w:noWrap/>
            <w:vAlign w:val="bottom"/>
            <w:hideMark/>
          </w:tcPr>
          <w:p w14:paraId="645BDC4C" w14:textId="5AF1F93F" w:rsidR="00A90B8A" w:rsidRPr="00DF679C" w:rsidRDefault="00A90B8A" w:rsidP="00A90B8A">
            <w:pPr>
              <w:spacing w:after="0" w:line="240" w:lineRule="auto"/>
              <w:jc w:val="right"/>
              <w:rPr>
                <w:rFonts w:ascii="Calibri" w:eastAsia="Times New Roman" w:hAnsi="Calibri" w:cs="Times New Roman"/>
                <w:lang w:eastAsia="hr-HR"/>
              </w:rPr>
            </w:pPr>
            <w:r w:rsidRPr="00DF679C">
              <w:t>14.896.837,09</w:t>
            </w:r>
          </w:p>
        </w:tc>
        <w:tc>
          <w:tcPr>
            <w:tcW w:w="1551" w:type="dxa"/>
            <w:tcBorders>
              <w:top w:val="nil"/>
              <w:left w:val="nil"/>
              <w:bottom w:val="nil"/>
              <w:right w:val="nil"/>
            </w:tcBorders>
            <w:shd w:val="clear" w:color="auto" w:fill="auto"/>
            <w:noWrap/>
            <w:vAlign w:val="bottom"/>
            <w:hideMark/>
          </w:tcPr>
          <w:p w14:paraId="331F312B" w14:textId="19958020" w:rsidR="00A90B8A" w:rsidRPr="00DF679C" w:rsidRDefault="00A90B8A" w:rsidP="00A90B8A">
            <w:pPr>
              <w:spacing w:after="0" w:line="240" w:lineRule="auto"/>
              <w:jc w:val="right"/>
              <w:rPr>
                <w:rFonts w:ascii="Calibri" w:eastAsia="Times New Roman" w:hAnsi="Calibri" w:cs="Times New Roman"/>
                <w:lang w:eastAsia="hr-HR"/>
              </w:rPr>
            </w:pPr>
            <w:r w:rsidRPr="00DF679C">
              <w:t>14.753.583,56</w:t>
            </w:r>
          </w:p>
        </w:tc>
        <w:tc>
          <w:tcPr>
            <w:tcW w:w="1361" w:type="dxa"/>
            <w:tcBorders>
              <w:top w:val="nil"/>
              <w:left w:val="nil"/>
              <w:bottom w:val="nil"/>
              <w:right w:val="nil"/>
            </w:tcBorders>
            <w:shd w:val="clear" w:color="auto" w:fill="auto"/>
            <w:noWrap/>
            <w:vAlign w:val="bottom"/>
            <w:hideMark/>
          </w:tcPr>
          <w:p w14:paraId="4EAE0521" w14:textId="03298BF4" w:rsidR="00A90B8A" w:rsidRPr="00DF679C" w:rsidRDefault="00A90B8A" w:rsidP="00A90B8A">
            <w:pPr>
              <w:spacing w:after="0" w:line="240" w:lineRule="auto"/>
              <w:jc w:val="right"/>
              <w:rPr>
                <w:rFonts w:ascii="Calibri" w:eastAsia="Times New Roman" w:hAnsi="Calibri" w:cs="Times New Roman"/>
                <w:lang w:eastAsia="hr-HR"/>
              </w:rPr>
            </w:pPr>
            <w:r w:rsidRPr="00DF679C">
              <w:t>(641,25)</w:t>
            </w:r>
          </w:p>
        </w:tc>
        <w:tc>
          <w:tcPr>
            <w:tcW w:w="2367" w:type="dxa"/>
            <w:tcBorders>
              <w:top w:val="nil"/>
              <w:left w:val="nil"/>
              <w:bottom w:val="nil"/>
              <w:right w:val="nil"/>
            </w:tcBorders>
            <w:shd w:val="clear" w:color="auto" w:fill="auto"/>
            <w:noWrap/>
            <w:vAlign w:val="bottom"/>
            <w:hideMark/>
          </w:tcPr>
          <w:p w14:paraId="050799E9" w14:textId="26385F80" w:rsidR="00A90B8A" w:rsidRPr="00DF679C" w:rsidRDefault="00A90B8A" w:rsidP="00A90B8A">
            <w:pPr>
              <w:spacing w:after="0" w:line="240" w:lineRule="auto"/>
              <w:jc w:val="right"/>
              <w:rPr>
                <w:rFonts w:ascii="Calibri" w:eastAsia="Times New Roman" w:hAnsi="Calibri" w:cs="Times New Roman"/>
                <w:lang w:eastAsia="hr-HR"/>
              </w:rPr>
            </w:pPr>
            <w:r w:rsidRPr="00DF679C">
              <w:t>(19.441.323,19)</w:t>
            </w:r>
          </w:p>
        </w:tc>
        <w:tc>
          <w:tcPr>
            <w:tcW w:w="436" w:type="dxa"/>
            <w:tcBorders>
              <w:top w:val="nil"/>
              <w:left w:val="nil"/>
              <w:bottom w:val="nil"/>
              <w:right w:val="nil"/>
            </w:tcBorders>
            <w:shd w:val="clear" w:color="auto" w:fill="auto"/>
            <w:noWrap/>
            <w:vAlign w:val="bottom"/>
            <w:hideMark/>
          </w:tcPr>
          <w:p w14:paraId="0FA827BC"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434CC6CE" w14:textId="77777777" w:rsidTr="00A90B8A">
        <w:trPr>
          <w:trHeight w:val="315"/>
        </w:trPr>
        <w:tc>
          <w:tcPr>
            <w:tcW w:w="2508" w:type="dxa"/>
            <w:tcBorders>
              <w:top w:val="single" w:sz="4" w:space="0" w:color="auto"/>
              <w:left w:val="nil"/>
              <w:bottom w:val="double" w:sz="6" w:space="0" w:color="auto"/>
              <w:right w:val="nil"/>
            </w:tcBorders>
            <w:shd w:val="clear" w:color="auto" w:fill="auto"/>
            <w:noWrap/>
            <w:vAlign w:val="bottom"/>
            <w:hideMark/>
          </w:tcPr>
          <w:p w14:paraId="13F4B3D6" w14:textId="77777777" w:rsidR="00A90B8A" w:rsidRPr="00DF679C" w:rsidRDefault="00A90B8A" w:rsidP="00A90B8A">
            <w:pPr>
              <w:spacing w:after="0" w:line="240" w:lineRule="auto"/>
              <w:rPr>
                <w:rFonts w:ascii="Calibri" w:eastAsia="Times New Roman" w:hAnsi="Calibri" w:cs="Times New Roman"/>
                <w:b/>
                <w:bCs/>
                <w:lang w:eastAsia="hr-HR"/>
              </w:rPr>
            </w:pPr>
            <w:r w:rsidRPr="00DF679C">
              <w:rPr>
                <w:rFonts w:ascii="Calibri" w:eastAsia="Times New Roman" w:hAnsi="Calibri" w:cs="Times New Roman"/>
                <w:b/>
                <w:bCs/>
                <w:lang w:eastAsia="hr-HR"/>
              </w:rPr>
              <w:t>Ukupno</w:t>
            </w:r>
          </w:p>
        </w:tc>
        <w:tc>
          <w:tcPr>
            <w:tcW w:w="1506" w:type="dxa"/>
            <w:tcBorders>
              <w:top w:val="single" w:sz="4" w:space="0" w:color="auto"/>
              <w:left w:val="nil"/>
              <w:bottom w:val="double" w:sz="6" w:space="0" w:color="auto"/>
              <w:right w:val="nil"/>
            </w:tcBorders>
            <w:shd w:val="clear" w:color="auto" w:fill="auto"/>
            <w:noWrap/>
            <w:vAlign w:val="bottom"/>
            <w:hideMark/>
          </w:tcPr>
          <w:p w14:paraId="2DA3D463" w14:textId="3538FDF9"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58.382.550,50</w:t>
            </w:r>
          </w:p>
        </w:tc>
        <w:tc>
          <w:tcPr>
            <w:tcW w:w="1551" w:type="dxa"/>
            <w:tcBorders>
              <w:top w:val="single" w:sz="4" w:space="0" w:color="auto"/>
              <w:left w:val="nil"/>
              <w:bottom w:val="double" w:sz="6" w:space="0" w:color="auto"/>
              <w:right w:val="nil"/>
            </w:tcBorders>
            <w:shd w:val="clear" w:color="auto" w:fill="auto"/>
            <w:noWrap/>
            <w:vAlign w:val="bottom"/>
            <w:hideMark/>
          </w:tcPr>
          <w:p w14:paraId="0117A3EC" w14:textId="0BFE7457"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57.657.090,57</w:t>
            </w:r>
          </w:p>
        </w:tc>
        <w:tc>
          <w:tcPr>
            <w:tcW w:w="1361" w:type="dxa"/>
            <w:tcBorders>
              <w:top w:val="single" w:sz="4" w:space="0" w:color="auto"/>
              <w:left w:val="nil"/>
              <w:bottom w:val="double" w:sz="6" w:space="0" w:color="auto"/>
              <w:right w:val="nil"/>
            </w:tcBorders>
            <w:shd w:val="clear" w:color="auto" w:fill="auto"/>
            <w:noWrap/>
            <w:vAlign w:val="bottom"/>
            <w:hideMark/>
          </w:tcPr>
          <w:p w14:paraId="02F852EE" w14:textId="17B6B65F"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(107.603,16)</w:t>
            </w:r>
          </w:p>
        </w:tc>
        <w:tc>
          <w:tcPr>
            <w:tcW w:w="2367" w:type="dxa"/>
            <w:tcBorders>
              <w:top w:val="single" w:sz="4" w:space="0" w:color="auto"/>
              <w:left w:val="nil"/>
              <w:bottom w:val="double" w:sz="6" w:space="0" w:color="auto"/>
              <w:right w:val="nil"/>
            </w:tcBorders>
            <w:shd w:val="clear" w:color="auto" w:fill="auto"/>
            <w:noWrap/>
            <w:vAlign w:val="bottom"/>
            <w:hideMark/>
          </w:tcPr>
          <w:p w14:paraId="0B921ECD" w14:textId="445905C4"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(51.008.730,82)</w:t>
            </w:r>
          </w:p>
        </w:tc>
        <w:tc>
          <w:tcPr>
            <w:tcW w:w="436" w:type="dxa"/>
            <w:tcBorders>
              <w:top w:val="nil"/>
              <w:left w:val="nil"/>
              <w:bottom w:val="nil"/>
              <w:right w:val="nil"/>
            </w:tcBorders>
            <w:shd w:val="clear" w:color="auto" w:fill="auto"/>
            <w:noWrap/>
            <w:vAlign w:val="bottom"/>
            <w:hideMark/>
          </w:tcPr>
          <w:p w14:paraId="7FB44F22"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5DC14B0F" w14:textId="77777777" w:rsidTr="00A90B8A">
        <w:trPr>
          <w:trHeight w:val="315"/>
        </w:trPr>
        <w:tc>
          <w:tcPr>
            <w:tcW w:w="2508" w:type="dxa"/>
            <w:tcBorders>
              <w:top w:val="nil"/>
              <w:left w:val="nil"/>
              <w:bottom w:val="nil"/>
              <w:right w:val="nil"/>
            </w:tcBorders>
            <w:shd w:val="clear" w:color="auto" w:fill="auto"/>
            <w:noWrap/>
            <w:vAlign w:val="bottom"/>
            <w:hideMark/>
          </w:tcPr>
          <w:p w14:paraId="7373AC84" w14:textId="77777777" w:rsidR="00A90B8A" w:rsidRPr="00DF679C" w:rsidRDefault="00A90B8A" w:rsidP="00A90B8A">
            <w:pPr>
              <w:spacing w:after="0" w:line="240" w:lineRule="auto"/>
              <w:rPr>
                <w:rFonts w:ascii="Calibri" w:eastAsia="Times New Roman" w:hAnsi="Calibri" w:cs="Times New Roman"/>
                <w:lang w:eastAsia="hr-HR"/>
              </w:rPr>
            </w:pPr>
          </w:p>
        </w:tc>
        <w:tc>
          <w:tcPr>
            <w:tcW w:w="1506" w:type="dxa"/>
            <w:tcBorders>
              <w:top w:val="nil"/>
              <w:left w:val="nil"/>
              <w:bottom w:val="nil"/>
              <w:right w:val="nil"/>
            </w:tcBorders>
            <w:shd w:val="clear" w:color="auto" w:fill="auto"/>
            <w:noWrap/>
            <w:vAlign w:val="bottom"/>
            <w:hideMark/>
          </w:tcPr>
          <w:p w14:paraId="37AE426F"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1551" w:type="dxa"/>
            <w:tcBorders>
              <w:top w:val="nil"/>
              <w:left w:val="nil"/>
              <w:bottom w:val="nil"/>
              <w:right w:val="nil"/>
            </w:tcBorders>
            <w:shd w:val="clear" w:color="auto" w:fill="auto"/>
            <w:noWrap/>
            <w:vAlign w:val="bottom"/>
            <w:hideMark/>
          </w:tcPr>
          <w:p w14:paraId="3337672E"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1361" w:type="dxa"/>
            <w:tcBorders>
              <w:top w:val="nil"/>
              <w:left w:val="nil"/>
              <w:bottom w:val="nil"/>
              <w:right w:val="nil"/>
            </w:tcBorders>
            <w:shd w:val="clear" w:color="auto" w:fill="auto"/>
            <w:noWrap/>
            <w:vAlign w:val="bottom"/>
            <w:hideMark/>
          </w:tcPr>
          <w:p w14:paraId="6F7E14CB"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2367" w:type="dxa"/>
            <w:tcBorders>
              <w:top w:val="nil"/>
              <w:left w:val="nil"/>
              <w:bottom w:val="nil"/>
              <w:right w:val="nil"/>
            </w:tcBorders>
            <w:shd w:val="clear" w:color="auto" w:fill="auto"/>
            <w:noWrap/>
            <w:vAlign w:val="bottom"/>
            <w:hideMark/>
          </w:tcPr>
          <w:p w14:paraId="52F09BB8"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436" w:type="dxa"/>
            <w:tcBorders>
              <w:top w:val="nil"/>
              <w:left w:val="nil"/>
              <w:bottom w:val="nil"/>
              <w:right w:val="nil"/>
            </w:tcBorders>
            <w:shd w:val="clear" w:color="auto" w:fill="auto"/>
            <w:noWrap/>
            <w:vAlign w:val="bottom"/>
            <w:hideMark/>
          </w:tcPr>
          <w:p w14:paraId="7392B1F0"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00A513F9" w14:textId="77777777" w:rsidTr="00A90B8A">
        <w:trPr>
          <w:trHeight w:val="300"/>
        </w:trPr>
        <w:tc>
          <w:tcPr>
            <w:tcW w:w="2508" w:type="dxa"/>
            <w:tcBorders>
              <w:top w:val="nil"/>
              <w:left w:val="nil"/>
              <w:bottom w:val="single" w:sz="4" w:space="0" w:color="auto"/>
              <w:right w:val="nil"/>
            </w:tcBorders>
            <w:shd w:val="clear" w:color="auto" w:fill="auto"/>
            <w:noWrap/>
            <w:vAlign w:val="bottom"/>
            <w:hideMark/>
          </w:tcPr>
          <w:p w14:paraId="5B69567D" w14:textId="5F4A8089" w:rsidR="00A90B8A" w:rsidRPr="00DF679C" w:rsidRDefault="00A90B8A" w:rsidP="00A90B8A">
            <w:pPr>
              <w:spacing w:after="0" w:line="240" w:lineRule="auto"/>
              <w:rPr>
                <w:rFonts w:ascii="Calibri" w:eastAsia="Times New Roman" w:hAnsi="Calibri" w:cs="Times New Roman"/>
                <w:b/>
                <w:bCs/>
                <w:lang w:eastAsia="hr-HR"/>
              </w:rPr>
            </w:pPr>
            <w:r w:rsidRPr="00DF679C">
              <w:rPr>
                <w:rFonts w:ascii="Calibri" w:eastAsia="Times New Roman" w:hAnsi="Calibri" w:cs="Times New Roman"/>
                <w:b/>
                <w:bCs/>
                <w:lang w:eastAsia="hr-HR"/>
              </w:rPr>
              <w:t>2020. godina</w:t>
            </w:r>
          </w:p>
        </w:tc>
        <w:tc>
          <w:tcPr>
            <w:tcW w:w="1506" w:type="dxa"/>
            <w:tcBorders>
              <w:top w:val="nil"/>
              <w:left w:val="nil"/>
              <w:bottom w:val="single" w:sz="4" w:space="0" w:color="auto"/>
              <w:right w:val="nil"/>
            </w:tcBorders>
            <w:shd w:val="clear" w:color="auto" w:fill="auto"/>
            <w:noWrap/>
            <w:vAlign w:val="bottom"/>
            <w:hideMark/>
          </w:tcPr>
          <w:p w14:paraId="7327E3A8" w14:textId="5C0692F1" w:rsidR="00A90B8A" w:rsidRPr="00DF679C" w:rsidRDefault="00A90B8A" w:rsidP="00A90B8A">
            <w:pPr>
              <w:spacing w:after="0" w:line="240" w:lineRule="auto"/>
              <w:jc w:val="right"/>
              <w:rPr>
                <w:rFonts w:ascii="Calibri" w:eastAsia="Times New Roman" w:hAnsi="Calibri" w:cs="Times New Roman"/>
                <w:lang w:eastAsia="hr-HR"/>
              </w:rPr>
            </w:pPr>
            <w:r w:rsidRPr="00DF679C">
              <w:t>Fakturirano</w:t>
            </w:r>
          </w:p>
        </w:tc>
        <w:tc>
          <w:tcPr>
            <w:tcW w:w="1551" w:type="dxa"/>
            <w:tcBorders>
              <w:top w:val="nil"/>
              <w:left w:val="nil"/>
              <w:bottom w:val="single" w:sz="4" w:space="0" w:color="auto"/>
              <w:right w:val="nil"/>
            </w:tcBorders>
            <w:shd w:val="clear" w:color="auto" w:fill="auto"/>
            <w:noWrap/>
            <w:vAlign w:val="bottom"/>
            <w:hideMark/>
          </w:tcPr>
          <w:p w14:paraId="5C559399" w14:textId="4BD2505C" w:rsidR="00A90B8A" w:rsidRPr="00DF679C" w:rsidRDefault="00A90B8A" w:rsidP="00A90B8A">
            <w:pPr>
              <w:spacing w:after="0" w:line="240" w:lineRule="auto"/>
              <w:jc w:val="right"/>
              <w:rPr>
                <w:rFonts w:ascii="Calibri" w:eastAsia="Times New Roman" w:hAnsi="Calibri" w:cs="Times New Roman"/>
                <w:lang w:eastAsia="hr-HR"/>
              </w:rPr>
            </w:pPr>
            <w:r w:rsidRPr="00DF679C">
              <w:t xml:space="preserve">Naplaćeno </w:t>
            </w:r>
          </w:p>
        </w:tc>
        <w:tc>
          <w:tcPr>
            <w:tcW w:w="1361" w:type="dxa"/>
            <w:tcBorders>
              <w:top w:val="nil"/>
              <w:left w:val="nil"/>
              <w:bottom w:val="single" w:sz="4" w:space="0" w:color="auto"/>
              <w:right w:val="nil"/>
            </w:tcBorders>
            <w:shd w:val="clear" w:color="auto" w:fill="auto"/>
            <w:noWrap/>
            <w:vAlign w:val="bottom"/>
            <w:hideMark/>
          </w:tcPr>
          <w:p w14:paraId="5A0C4041" w14:textId="64580353" w:rsidR="00A90B8A" w:rsidRPr="00DF679C" w:rsidRDefault="00A90B8A" w:rsidP="00A90B8A">
            <w:pPr>
              <w:spacing w:after="0" w:line="240" w:lineRule="auto"/>
              <w:jc w:val="right"/>
              <w:rPr>
                <w:rFonts w:ascii="Calibri" w:eastAsia="Times New Roman" w:hAnsi="Calibri" w:cs="Times New Roman"/>
                <w:lang w:eastAsia="hr-HR"/>
              </w:rPr>
            </w:pPr>
            <w:r w:rsidRPr="00DF679C">
              <w:t>Otpisano</w:t>
            </w:r>
          </w:p>
        </w:tc>
        <w:tc>
          <w:tcPr>
            <w:tcW w:w="2367" w:type="dxa"/>
            <w:tcBorders>
              <w:top w:val="nil"/>
              <w:left w:val="nil"/>
              <w:bottom w:val="single" w:sz="4" w:space="0" w:color="auto"/>
              <w:right w:val="nil"/>
            </w:tcBorders>
            <w:shd w:val="clear" w:color="auto" w:fill="auto"/>
            <w:noWrap/>
            <w:vAlign w:val="bottom"/>
            <w:hideMark/>
          </w:tcPr>
          <w:p w14:paraId="2309D821" w14:textId="375581BE" w:rsidR="00A90B8A" w:rsidRPr="00DF679C" w:rsidRDefault="00A90B8A" w:rsidP="00A90B8A">
            <w:pPr>
              <w:spacing w:after="0" w:line="240" w:lineRule="auto"/>
              <w:jc w:val="right"/>
              <w:rPr>
                <w:rFonts w:ascii="Calibri" w:eastAsia="Times New Roman" w:hAnsi="Calibri" w:cs="Times New Roman"/>
                <w:lang w:eastAsia="hr-HR"/>
              </w:rPr>
            </w:pPr>
            <w:r w:rsidRPr="00DF679C">
              <w:t>Utrošeno</w:t>
            </w:r>
          </w:p>
        </w:tc>
        <w:tc>
          <w:tcPr>
            <w:tcW w:w="436" w:type="dxa"/>
            <w:tcBorders>
              <w:top w:val="nil"/>
              <w:left w:val="nil"/>
              <w:bottom w:val="nil"/>
              <w:right w:val="nil"/>
            </w:tcBorders>
            <w:shd w:val="clear" w:color="auto" w:fill="auto"/>
            <w:noWrap/>
            <w:vAlign w:val="bottom"/>
            <w:hideMark/>
          </w:tcPr>
          <w:p w14:paraId="4BB52DA6"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75F6B9F0" w14:textId="77777777" w:rsidTr="00A90B8A">
        <w:trPr>
          <w:trHeight w:val="300"/>
        </w:trPr>
        <w:tc>
          <w:tcPr>
            <w:tcW w:w="2508" w:type="dxa"/>
            <w:tcBorders>
              <w:top w:val="nil"/>
              <w:left w:val="nil"/>
              <w:bottom w:val="nil"/>
              <w:right w:val="nil"/>
            </w:tcBorders>
            <w:shd w:val="clear" w:color="auto" w:fill="auto"/>
            <w:noWrap/>
            <w:vAlign w:val="bottom"/>
            <w:hideMark/>
          </w:tcPr>
          <w:p w14:paraId="57FBE2B1"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Projekt Jadran</w:t>
            </w:r>
          </w:p>
        </w:tc>
        <w:tc>
          <w:tcPr>
            <w:tcW w:w="1506" w:type="dxa"/>
            <w:tcBorders>
              <w:top w:val="nil"/>
              <w:left w:val="nil"/>
              <w:bottom w:val="nil"/>
              <w:right w:val="nil"/>
            </w:tcBorders>
            <w:shd w:val="clear" w:color="auto" w:fill="auto"/>
            <w:noWrap/>
            <w:vAlign w:val="bottom"/>
            <w:hideMark/>
          </w:tcPr>
          <w:p w14:paraId="753472B8" w14:textId="6E1D930C" w:rsidR="00A90B8A" w:rsidRPr="00DF679C" w:rsidRDefault="00A90B8A" w:rsidP="00A90B8A">
            <w:pPr>
              <w:spacing w:after="0" w:line="240" w:lineRule="auto"/>
              <w:jc w:val="right"/>
              <w:rPr>
                <w:rFonts w:ascii="Calibri" w:eastAsia="Times New Roman" w:hAnsi="Calibri" w:cs="Times New Roman"/>
                <w:lang w:eastAsia="hr-HR"/>
              </w:rPr>
            </w:pPr>
            <w:r w:rsidRPr="00DF679C">
              <w:t>3.177.300,82</w:t>
            </w:r>
          </w:p>
        </w:tc>
        <w:tc>
          <w:tcPr>
            <w:tcW w:w="1551" w:type="dxa"/>
            <w:tcBorders>
              <w:top w:val="nil"/>
              <w:left w:val="nil"/>
              <w:bottom w:val="nil"/>
              <w:right w:val="nil"/>
            </w:tcBorders>
            <w:shd w:val="clear" w:color="auto" w:fill="auto"/>
            <w:noWrap/>
            <w:vAlign w:val="bottom"/>
            <w:hideMark/>
          </w:tcPr>
          <w:p w14:paraId="78220104" w14:textId="183F5BDC" w:rsidR="00A90B8A" w:rsidRPr="00DF679C" w:rsidRDefault="00A90B8A" w:rsidP="00A90B8A">
            <w:pPr>
              <w:spacing w:after="0" w:line="240" w:lineRule="auto"/>
              <w:jc w:val="right"/>
              <w:rPr>
                <w:rFonts w:ascii="Calibri" w:eastAsia="Times New Roman" w:hAnsi="Calibri" w:cs="Times New Roman"/>
                <w:lang w:eastAsia="hr-HR"/>
              </w:rPr>
            </w:pPr>
            <w:r w:rsidRPr="00DF679C">
              <w:t>3.218.117,82</w:t>
            </w:r>
          </w:p>
        </w:tc>
        <w:tc>
          <w:tcPr>
            <w:tcW w:w="1361" w:type="dxa"/>
            <w:tcBorders>
              <w:top w:val="nil"/>
              <w:left w:val="nil"/>
              <w:bottom w:val="nil"/>
              <w:right w:val="nil"/>
            </w:tcBorders>
            <w:shd w:val="clear" w:color="auto" w:fill="auto"/>
            <w:noWrap/>
            <w:vAlign w:val="bottom"/>
            <w:hideMark/>
          </w:tcPr>
          <w:p w14:paraId="4B8DE02D" w14:textId="78FC95F6" w:rsidR="00A90B8A" w:rsidRPr="00DF679C" w:rsidRDefault="00A90B8A" w:rsidP="00A90B8A">
            <w:pPr>
              <w:spacing w:after="0" w:line="240" w:lineRule="auto"/>
              <w:jc w:val="right"/>
              <w:rPr>
                <w:rFonts w:ascii="Calibri" w:eastAsia="Times New Roman" w:hAnsi="Calibri" w:cs="Times New Roman"/>
                <w:lang w:eastAsia="hr-HR"/>
              </w:rPr>
            </w:pPr>
            <w:r w:rsidRPr="00DF679C">
              <w:t>(1.550,75)</w:t>
            </w:r>
          </w:p>
        </w:tc>
        <w:tc>
          <w:tcPr>
            <w:tcW w:w="2367" w:type="dxa"/>
            <w:tcBorders>
              <w:top w:val="nil"/>
              <w:left w:val="nil"/>
              <w:bottom w:val="nil"/>
              <w:right w:val="nil"/>
            </w:tcBorders>
            <w:shd w:val="clear" w:color="auto" w:fill="auto"/>
            <w:noWrap/>
            <w:vAlign w:val="bottom"/>
            <w:hideMark/>
          </w:tcPr>
          <w:p w14:paraId="1CDE0394" w14:textId="06D8B35C"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(2.749.422,07)</w:t>
            </w:r>
          </w:p>
        </w:tc>
        <w:tc>
          <w:tcPr>
            <w:tcW w:w="436" w:type="dxa"/>
            <w:tcBorders>
              <w:top w:val="nil"/>
              <w:left w:val="nil"/>
              <w:bottom w:val="nil"/>
              <w:right w:val="nil"/>
            </w:tcBorders>
            <w:shd w:val="clear" w:color="auto" w:fill="auto"/>
            <w:noWrap/>
            <w:vAlign w:val="bottom"/>
            <w:hideMark/>
          </w:tcPr>
          <w:p w14:paraId="0C3C0775"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w:t>
            </w:r>
          </w:p>
        </w:tc>
      </w:tr>
      <w:tr w:rsidR="00A90B8A" w:rsidRPr="00DF679C" w14:paraId="48B4D644" w14:textId="77777777" w:rsidTr="00A90B8A">
        <w:trPr>
          <w:trHeight w:val="300"/>
        </w:trPr>
        <w:tc>
          <w:tcPr>
            <w:tcW w:w="2508" w:type="dxa"/>
            <w:tcBorders>
              <w:top w:val="nil"/>
              <w:left w:val="nil"/>
              <w:bottom w:val="nil"/>
              <w:right w:val="nil"/>
            </w:tcBorders>
            <w:shd w:val="clear" w:color="auto" w:fill="auto"/>
            <w:noWrap/>
            <w:vAlign w:val="bottom"/>
            <w:hideMark/>
          </w:tcPr>
          <w:p w14:paraId="1548335C"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-kupci</w:t>
            </w:r>
          </w:p>
        </w:tc>
        <w:tc>
          <w:tcPr>
            <w:tcW w:w="1506" w:type="dxa"/>
            <w:tcBorders>
              <w:top w:val="single" w:sz="4" w:space="0" w:color="auto"/>
              <w:left w:val="single" w:sz="4" w:space="0" w:color="auto"/>
              <w:bottom w:val="nil"/>
              <w:right w:val="nil"/>
            </w:tcBorders>
            <w:shd w:val="clear" w:color="auto" w:fill="auto"/>
            <w:noWrap/>
            <w:vAlign w:val="bottom"/>
            <w:hideMark/>
          </w:tcPr>
          <w:p w14:paraId="0DE71DFA" w14:textId="498AD6DC" w:rsidR="00A90B8A" w:rsidRPr="00DF679C" w:rsidRDefault="00A90B8A" w:rsidP="00A90B8A">
            <w:pPr>
              <w:spacing w:after="0" w:line="240" w:lineRule="auto"/>
              <w:jc w:val="right"/>
              <w:rPr>
                <w:rFonts w:ascii="Calibri" w:eastAsia="Times New Roman" w:hAnsi="Calibri" w:cs="Times New Roman"/>
                <w:lang w:eastAsia="hr-HR"/>
              </w:rPr>
            </w:pPr>
            <w:r w:rsidRPr="00DF679C">
              <w:t>3.177.300,82</w:t>
            </w:r>
          </w:p>
        </w:tc>
        <w:tc>
          <w:tcPr>
            <w:tcW w:w="1551" w:type="dxa"/>
            <w:tcBorders>
              <w:top w:val="single" w:sz="4" w:space="0" w:color="auto"/>
              <w:left w:val="nil"/>
              <w:bottom w:val="nil"/>
              <w:right w:val="nil"/>
            </w:tcBorders>
            <w:shd w:val="clear" w:color="auto" w:fill="auto"/>
            <w:noWrap/>
            <w:vAlign w:val="bottom"/>
            <w:hideMark/>
          </w:tcPr>
          <w:p w14:paraId="7675B338" w14:textId="2E9BAB9C" w:rsidR="00A90B8A" w:rsidRPr="00DF679C" w:rsidRDefault="00A90B8A" w:rsidP="00A90B8A">
            <w:pPr>
              <w:spacing w:after="0" w:line="240" w:lineRule="auto"/>
              <w:jc w:val="right"/>
              <w:rPr>
                <w:rFonts w:ascii="Calibri" w:eastAsia="Times New Roman" w:hAnsi="Calibri" w:cs="Times New Roman"/>
                <w:lang w:eastAsia="hr-HR"/>
              </w:rPr>
            </w:pPr>
            <w:r w:rsidRPr="00DF679C">
              <w:t>3.218.117,82</w:t>
            </w:r>
          </w:p>
        </w:tc>
        <w:tc>
          <w:tcPr>
            <w:tcW w:w="1361" w:type="dxa"/>
            <w:tcBorders>
              <w:top w:val="single" w:sz="4" w:space="0" w:color="auto"/>
              <w:left w:val="nil"/>
              <w:bottom w:val="nil"/>
              <w:right w:val="nil"/>
            </w:tcBorders>
            <w:shd w:val="clear" w:color="auto" w:fill="auto"/>
            <w:noWrap/>
            <w:vAlign w:val="bottom"/>
            <w:hideMark/>
          </w:tcPr>
          <w:p w14:paraId="1C695C6A" w14:textId="70A31C2D" w:rsidR="00A90B8A" w:rsidRPr="00DF679C" w:rsidRDefault="00A90B8A" w:rsidP="00A90B8A">
            <w:pPr>
              <w:spacing w:after="0" w:line="240" w:lineRule="auto"/>
              <w:jc w:val="right"/>
              <w:rPr>
                <w:rFonts w:ascii="Calibri" w:eastAsia="Times New Roman" w:hAnsi="Calibri" w:cs="Times New Roman"/>
                <w:lang w:eastAsia="hr-HR"/>
              </w:rPr>
            </w:pPr>
            <w:r w:rsidRPr="00DF679C">
              <w:t>(1.550,75)</w:t>
            </w:r>
          </w:p>
        </w:tc>
        <w:tc>
          <w:tcPr>
            <w:tcW w:w="2367" w:type="dxa"/>
            <w:tcBorders>
              <w:top w:val="single" w:sz="4" w:space="0" w:color="auto"/>
              <w:left w:val="nil"/>
              <w:bottom w:val="nil"/>
              <w:right w:val="nil"/>
            </w:tcBorders>
            <w:shd w:val="clear" w:color="auto" w:fill="auto"/>
            <w:noWrap/>
            <w:vAlign w:val="bottom"/>
            <w:hideMark/>
          </w:tcPr>
          <w:p w14:paraId="110B05BC" w14:textId="1C8D1403"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 </w:t>
            </w:r>
          </w:p>
        </w:tc>
        <w:tc>
          <w:tcPr>
            <w:tcW w:w="436" w:type="dxa"/>
            <w:tcBorders>
              <w:top w:val="nil"/>
              <w:left w:val="nil"/>
              <w:bottom w:val="nil"/>
              <w:right w:val="nil"/>
            </w:tcBorders>
            <w:shd w:val="clear" w:color="auto" w:fill="auto"/>
            <w:noWrap/>
            <w:vAlign w:val="bottom"/>
            <w:hideMark/>
          </w:tcPr>
          <w:p w14:paraId="6EE7ABC0"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34829CA6" w14:textId="77777777" w:rsidTr="00A90B8A">
        <w:trPr>
          <w:trHeight w:val="300"/>
        </w:trPr>
        <w:tc>
          <w:tcPr>
            <w:tcW w:w="2508" w:type="dxa"/>
            <w:tcBorders>
              <w:top w:val="nil"/>
              <w:left w:val="nil"/>
              <w:bottom w:val="nil"/>
              <w:right w:val="nil"/>
            </w:tcBorders>
            <w:shd w:val="clear" w:color="auto" w:fill="auto"/>
            <w:noWrap/>
            <w:vAlign w:val="bottom"/>
            <w:hideMark/>
          </w:tcPr>
          <w:p w14:paraId="5C8CCFBC"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-subvencije JLS</w:t>
            </w:r>
          </w:p>
        </w:tc>
        <w:tc>
          <w:tcPr>
            <w:tcW w:w="1506" w:type="dxa"/>
            <w:tcBorders>
              <w:top w:val="nil"/>
              <w:left w:val="single" w:sz="4" w:space="0" w:color="auto"/>
              <w:bottom w:val="single" w:sz="4" w:space="0" w:color="auto"/>
              <w:right w:val="nil"/>
            </w:tcBorders>
            <w:shd w:val="clear" w:color="auto" w:fill="auto"/>
            <w:noWrap/>
            <w:vAlign w:val="bottom"/>
            <w:hideMark/>
          </w:tcPr>
          <w:p w14:paraId="210A41C1" w14:textId="60CE3194" w:rsidR="00A90B8A" w:rsidRPr="00DF679C" w:rsidRDefault="00A90B8A" w:rsidP="00A90B8A">
            <w:pPr>
              <w:spacing w:after="0" w:line="240" w:lineRule="auto"/>
              <w:jc w:val="right"/>
              <w:rPr>
                <w:rFonts w:ascii="Calibri" w:eastAsia="Times New Roman" w:hAnsi="Calibri" w:cs="Times New Roman"/>
                <w:lang w:eastAsia="hr-HR"/>
              </w:rPr>
            </w:pPr>
            <w:r w:rsidRPr="00DF679C">
              <w:t>0,00</w:t>
            </w:r>
          </w:p>
        </w:tc>
        <w:tc>
          <w:tcPr>
            <w:tcW w:w="1551" w:type="dxa"/>
            <w:tcBorders>
              <w:top w:val="nil"/>
              <w:left w:val="nil"/>
              <w:bottom w:val="single" w:sz="4" w:space="0" w:color="auto"/>
              <w:right w:val="nil"/>
            </w:tcBorders>
            <w:shd w:val="clear" w:color="auto" w:fill="auto"/>
            <w:noWrap/>
            <w:vAlign w:val="bottom"/>
            <w:hideMark/>
          </w:tcPr>
          <w:p w14:paraId="21895684" w14:textId="78DBA33B" w:rsidR="00A90B8A" w:rsidRPr="00DF679C" w:rsidRDefault="00A90B8A" w:rsidP="00A90B8A">
            <w:pPr>
              <w:spacing w:after="0" w:line="240" w:lineRule="auto"/>
              <w:jc w:val="right"/>
              <w:rPr>
                <w:rFonts w:ascii="Calibri" w:eastAsia="Times New Roman" w:hAnsi="Calibri" w:cs="Times New Roman"/>
                <w:lang w:eastAsia="hr-HR"/>
              </w:rPr>
            </w:pPr>
            <w:r w:rsidRPr="00DF679C">
              <w:t>0,00</w:t>
            </w:r>
          </w:p>
        </w:tc>
        <w:tc>
          <w:tcPr>
            <w:tcW w:w="1361" w:type="dxa"/>
            <w:tcBorders>
              <w:top w:val="nil"/>
              <w:left w:val="nil"/>
              <w:bottom w:val="single" w:sz="4" w:space="0" w:color="auto"/>
              <w:right w:val="nil"/>
            </w:tcBorders>
            <w:shd w:val="clear" w:color="auto" w:fill="auto"/>
            <w:noWrap/>
            <w:vAlign w:val="bottom"/>
            <w:hideMark/>
          </w:tcPr>
          <w:p w14:paraId="2CC8D1C8" w14:textId="57BFE0DC" w:rsidR="00A90B8A" w:rsidRPr="00DF679C" w:rsidRDefault="00A90B8A" w:rsidP="00A90B8A">
            <w:pPr>
              <w:spacing w:after="0" w:line="240" w:lineRule="auto"/>
              <w:jc w:val="right"/>
              <w:rPr>
                <w:rFonts w:ascii="Calibri" w:eastAsia="Times New Roman" w:hAnsi="Calibri" w:cs="Times New Roman"/>
                <w:lang w:eastAsia="hr-HR"/>
              </w:rPr>
            </w:pPr>
            <w:r w:rsidRPr="00DF679C">
              <w:t> </w:t>
            </w:r>
          </w:p>
        </w:tc>
        <w:tc>
          <w:tcPr>
            <w:tcW w:w="2367" w:type="dxa"/>
            <w:tcBorders>
              <w:top w:val="nil"/>
              <w:left w:val="nil"/>
              <w:bottom w:val="single" w:sz="4" w:space="0" w:color="auto"/>
              <w:right w:val="nil"/>
            </w:tcBorders>
            <w:shd w:val="clear" w:color="auto" w:fill="auto"/>
            <w:noWrap/>
            <w:vAlign w:val="bottom"/>
            <w:hideMark/>
          </w:tcPr>
          <w:p w14:paraId="2F24B89A" w14:textId="76297404"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 </w:t>
            </w:r>
          </w:p>
        </w:tc>
        <w:tc>
          <w:tcPr>
            <w:tcW w:w="436" w:type="dxa"/>
            <w:tcBorders>
              <w:top w:val="nil"/>
              <w:left w:val="nil"/>
              <w:bottom w:val="nil"/>
              <w:right w:val="nil"/>
            </w:tcBorders>
            <w:shd w:val="clear" w:color="auto" w:fill="auto"/>
            <w:noWrap/>
            <w:vAlign w:val="bottom"/>
            <w:hideMark/>
          </w:tcPr>
          <w:p w14:paraId="2ECAC8B5"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427AC1F3" w14:textId="77777777" w:rsidTr="00A90B8A">
        <w:trPr>
          <w:trHeight w:val="300"/>
        </w:trPr>
        <w:tc>
          <w:tcPr>
            <w:tcW w:w="2508" w:type="dxa"/>
            <w:tcBorders>
              <w:top w:val="nil"/>
              <w:left w:val="nil"/>
              <w:bottom w:val="nil"/>
              <w:right w:val="nil"/>
            </w:tcBorders>
            <w:shd w:val="clear" w:color="auto" w:fill="auto"/>
            <w:noWrap/>
            <w:vAlign w:val="bottom"/>
            <w:hideMark/>
          </w:tcPr>
          <w:p w14:paraId="11C05E6E"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Ostali projekti</w:t>
            </w:r>
          </w:p>
        </w:tc>
        <w:tc>
          <w:tcPr>
            <w:tcW w:w="1506" w:type="dxa"/>
            <w:tcBorders>
              <w:top w:val="nil"/>
              <w:left w:val="nil"/>
              <w:bottom w:val="nil"/>
              <w:right w:val="nil"/>
            </w:tcBorders>
            <w:shd w:val="clear" w:color="auto" w:fill="auto"/>
            <w:noWrap/>
            <w:vAlign w:val="bottom"/>
            <w:hideMark/>
          </w:tcPr>
          <w:p w14:paraId="1BF35870" w14:textId="6180E1D4" w:rsidR="00A90B8A" w:rsidRPr="00DF679C" w:rsidRDefault="00A90B8A" w:rsidP="00A90B8A">
            <w:pPr>
              <w:spacing w:after="0" w:line="240" w:lineRule="auto"/>
              <w:jc w:val="right"/>
              <w:rPr>
                <w:rFonts w:ascii="Calibri" w:eastAsia="Times New Roman" w:hAnsi="Calibri" w:cs="Times New Roman"/>
                <w:lang w:eastAsia="hr-HR"/>
              </w:rPr>
            </w:pPr>
            <w:r w:rsidRPr="00DF679C">
              <w:t>1.522.670,18</w:t>
            </w:r>
          </w:p>
        </w:tc>
        <w:tc>
          <w:tcPr>
            <w:tcW w:w="1551" w:type="dxa"/>
            <w:tcBorders>
              <w:top w:val="nil"/>
              <w:left w:val="nil"/>
              <w:bottom w:val="nil"/>
              <w:right w:val="nil"/>
            </w:tcBorders>
            <w:shd w:val="clear" w:color="auto" w:fill="auto"/>
            <w:noWrap/>
            <w:vAlign w:val="bottom"/>
            <w:hideMark/>
          </w:tcPr>
          <w:p w14:paraId="6194762F" w14:textId="2E75031A" w:rsidR="00A90B8A" w:rsidRPr="00DF679C" w:rsidRDefault="00A90B8A" w:rsidP="00A90B8A">
            <w:pPr>
              <w:spacing w:after="0" w:line="240" w:lineRule="auto"/>
              <w:jc w:val="right"/>
              <w:rPr>
                <w:rFonts w:ascii="Calibri" w:eastAsia="Times New Roman" w:hAnsi="Calibri" w:cs="Times New Roman"/>
                <w:lang w:eastAsia="hr-HR"/>
              </w:rPr>
            </w:pPr>
            <w:r w:rsidRPr="00DF679C">
              <w:t>1.526.012,85</w:t>
            </w:r>
          </w:p>
        </w:tc>
        <w:tc>
          <w:tcPr>
            <w:tcW w:w="1361" w:type="dxa"/>
            <w:tcBorders>
              <w:top w:val="nil"/>
              <w:left w:val="nil"/>
              <w:bottom w:val="nil"/>
              <w:right w:val="nil"/>
            </w:tcBorders>
            <w:shd w:val="clear" w:color="auto" w:fill="auto"/>
            <w:noWrap/>
            <w:vAlign w:val="bottom"/>
            <w:hideMark/>
          </w:tcPr>
          <w:p w14:paraId="1786DD71" w14:textId="0347C69B" w:rsidR="00A90B8A" w:rsidRPr="00DF679C" w:rsidRDefault="00A90B8A" w:rsidP="00A90B8A">
            <w:pPr>
              <w:spacing w:after="0" w:line="240" w:lineRule="auto"/>
              <w:jc w:val="right"/>
              <w:rPr>
                <w:rFonts w:ascii="Calibri" w:eastAsia="Times New Roman" w:hAnsi="Calibri" w:cs="Times New Roman"/>
                <w:lang w:eastAsia="hr-HR"/>
              </w:rPr>
            </w:pPr>
            <w:r w:rsidRPr="00DF679C">
              <w:t>(384,57)</w:t>
            </w:r>
          </w:p>
        </w:tc>
        <w:tc>
          <w:tcPr>
            <w:tcW w:w="2367" w:type="dxa"/>
            <w:tcBorders>
              <w:top w:val="single" w:sz="4" w:space="0" w:color="auto"/>
              <w:left w:val="nil"/>
              <w:bottom w:val="single" w:sz="4" w:space="0" w:color="auto"/>
              <w:right w:val="nil"/>
            </w:tcBorders>
            <w:shd w:val="clear" w:color="auto" w:fill="auto"/>
            <w:noWrap/>
            <w:vAlign w:val="bottom"/>
            <w:hideMark/>
          </w:tcPr>
          <w:p w14:paraId="2BE9EEE6" w14:textId="165066CF"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(1.718.846,52)</w:t>
            </w:r>
          </w:p>
        </w:tc>
        <w:tc>
          <w:tcPr>
            <w:tcW w:w="436" w:type="dxa"/>
            <w:tcBorders>
              <w:top w:val="nil"/>
              <w:left w:val="nil"/>
              <w:bottom w:val="nil"/>
              <w:right w:val="nil"/>
            </w:tcBorders>
            <w:shd w:val="clear" w:color="auto" w:fill="auto"/>
            <w:noWrap/>
            <w:vAlign w:val="bottom"/>
            <w:hideMark/>
          </w:tcPr>
          <w:p w14:paraId="487EC5E5" w14:textId="77777777" w:rsidR="00A90B8A" w:rsidRPr="00DF679C" w:rsidRDefault="00A90B8A" w:rsidP="00A90B8A">
            <w:pPr>
              <w:spacing w:after="0" w:line="240" w:lineRule="auto"/>
              <w:rPr>
                <w:rFonts w:ascii="Calibri" w:eastAsia="Times New Roman" w:hAnsi="Calibri" w:cs="Times New Roman"/>
                <w:lang w:eastAsia="hr-HR"/>
              </w:rPr>
            </w:pPr>
            <w:r w:rsidRPr="00DF679C">
              <w:rPr>
                <w:rFonts w:ascii="Calibri" w:eastAsia="Times New Roman" w:hAnsi="Calibri" w:cs="Times New Roman"/>
                <w:lang w:eastAsia="hr-HR"/>
              </w:rPr>
              <w:t>**</w:t>
            </w:r>
          </w:p>
        </w:tc>
      </w:tr>
      <w:tr w:rsidR="00A90B8A" w:rsidRPr="00DF679C" w14:paraId="23DE6EFD" w14:textId="77777777" w:rsidTr="00A90B8A">
        <w:trPr>
          <w:trHeight w:val="315"/>
        </w:trPr>
        <w:tc>
          <w:tcPr>
            <w:tcW w:w="2508" w:type="dxa"/>
            <w:tcBorders>
              <w:top w:val="single" w:sz="4" w:space="0" w:color="auto"/>
              <w:left w:val="nil"/>
              <w:bottom w:val="double" w:sz="6" w:space="0" w:color="auto"/>
              <w:right w:val="nil"/>
            </w:tcBorders>
            <w:shd w:val="clear" w:color="auto" w:fill="auto"/>
            <w:noWrap/>
            <w:vAlign w:val="bottom"/>
            <w:hideMark/>
          </w:tcPr>
          <w:p w14:paraId="7A6F665C" w14:textId="77777777" w:rsidR="00A90B8A" w:rsidRPr="00DF679C" w:rsidRDefault="00A90B8A" w:rsidP="00A90B8A">
            <w:pPr>
              <w:spacing w:after="0" w:line="240" w:lineRule="auto"/>
              <w:rPr>
                <w:rFonts w:ascii="Calibri" w:eastAsia="Times New Roman" w:hAnsi="Calibri" w:cs="Times New Roman"/>
                <w:b/>
                <w:bCs/>
                <w:lang w:eastAsia="hr-HR"/>
              </w:rPr>
            </w:pPr>
            <w:r w:rsidRPr="00DF679C">
              <w:rPr>
                <w:rFonts w:ascii="Calibri" w:eastAsia="Times New Roman" w:hAnsi="Calibri" w:cs="Times New Roman"/>
                <w:b/>
                <w:bCs/>
                <w:lang w:eastAsia="hr-HR"/>
              </w:rPr>
              <w:t>Ukupno</w:t>
            </w:r>
          </w:p>
        </w:tc>
        <w:tc>
          <w:tcPr>
            <w:tcW w:w="1506" w:type="dxa"/>
            <w:tcBorders>
              <w:top w:val="single" w:sz="4" w:space="0" w:color="auto"/>
              <w:left w:val="nil"/>
              <w:bottom w:val="double" w:sz="6" w:space="0" w:color="auto"/>
              <w:right w:val="nil"/>
            </w:tcBorders>
            <w:shd w:val="clear" w:color="auto" w:fill="auto"/>
            <w:noWrap/>
            <w:vAlign w:val="bottom"/>
            <w:hideMark/>
          </w:tcPr>
          <w:p w14:paraId="1EB6C485" w14:textId="74A0CBAB"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4.699.971,00</w:t>
            </w:r>
          </w:p>
        </w:tc>
        <w:tc>
          <w:tcPr>
            <w:tcW w:w="1551" w:type="dxa"/>
            <w:tcBorders>
              <w:top w:val="single" w:sz="4" w:space="0" w:color="auto"/>
              <w:left w:val="nil"/>
              <w:bottom w:val="double" w:sz="6" w:space="0" w:color="auto"/>
              <w:right w:val="nil"/>
            </w:tcBorders>
            <w:shd w:val="clear" w:color="auto" w:fill="auto"/>
            <w:noWrap/>
            <w:vAlign w:val="bottom"/>
            <w:hideMark/>
          </w:tcPr>
          <w:p w14:paraId="649DE7C6" w14:textId="6F4AD88E"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4.744.130,67</w:t>
            </w:r>
          </w:p>
        </w:tc>
        <w:tc>
          <w:tcPr>
            <w:tcW w:w="1361" w:type="dxa"/>
            <w:tcBorders>
              <w:top w:val="single" w:sz="4" w:space="0" w:color="auto"/>
              <w:left w:val="nil"/>
              <w:bottom w:val="double" w:sz="6" w:space="0" w:color="auto"/>
              <w:right w:val="nil"/>
            </w:tcBorders>
            <w:shd w:val="clear" w:color="auto" w:fill="auto"/>
            <w:noWrap/>
            <w:vAlign w:val="bottom"/>
            <w:hideMark/>
          </w:tcPr>
          <w:p w14:paraId="18D17F62" w14:textId="5581BB71"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(1.935,32)</w:t>
            </w:r>
          </w:p>
        </w:tc>
        <w:tc>
          <w:tcPr>
            <w:tcW w:w="2367" w:type="dxa"/>
            <w:tcBorders>
              <w:top w:val="nil"/>
              <w:left w:val="nil"/>
              <w:bottom w:val="double" w:sz="6" w:space="0" w:color="auto"/>
              <w:right w:val="nil"/>
            </w:tcBorders>
            <w:shd w:val="clear" w:color="auto" w:fill="auto"/>
            <w:noWrap/>
            <w:vAlign w:val="bottom"/>
            <w:hideMark/>
          </w:tcPr>
          <w:p w14:paraId="38108E05" w14:textId="4F5F1A37"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(4.468.268,59)</w:t>
            </w:r>
          </w:p>
        </w:tc>
        <w:tc>
          <w:tcPr>
            <w:tcW w:w="436" w:type="dxa"/>
            <w:tcBorders>
              <w:top w:val="nil"/>
              <w:left w:val="nil"/>
              <w:bottom w:val="nil"/>
              <w:right w:val="nil"/>
            </w:tcBorders>
            <w:shd w:val="clear" w:color="auto" w:fill="auto"/>
            <w:noWrap/>
            <w:vAlign w:val="bottom"/>
            <w:hideMark/>
          </w:tcPr>
          <w:p w14:paraId="6E25313A"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7B0B6730" w14:textId="77777777" w:rsidTr="00A90B8A">
        <w:trPr>
          <w:trHeight w:val="315"/>
        </w:trPr>
        <w:tc>
          <w:tcPr>
            <w:tcW w:w="2508" w:type="dxa"/>
            <w:tcBorders>
              <w:top w:val="nil"/>
              <w:left w:val="nil"/>
              <w:bottom w:val="nil"/>
              <w:right w:val="nil"/>
            </w:tcBorders>
            <w:shd w:val="clear" w:color="auto" w:fill="auto"/>
            <w:noWrap/>
            <w:vAlign w:val="bottom"/>
            <w:hideMark/>
          </w:tcPr>
          <w:p w14:paraId="2754AF90" w14:textId="77777777" w:rsidR="00A90B8A" w:rsidRPr="00DF679C" w:rsidRDefault="00A90B8A" w:rsidP="00A90B8A">
            <w:pPr>
              <w:spacing w:after="0" w:line="240" w:lineRule="auto"/>
              <w:rPr>
                <w:rFonts w:ascii="Calibri" w:eastAsia="Times New Roman" w:hAnsi="Calibri" w:cs="Times New Roman"/>
                <w:lang w:eastAsia="hr-HR"/>
              </w:rPr>
            </w:pPr>
          </w:p>
        </w:tc>
        <w:tc>
          <w:tcPr>
            <w:tcW w:w="1506" w:type="dxa"/>
            <w:tcBorders>
              <w:top w:val="nil"/>
              <w:left w:val="nil"/>
              <w:bottom w:val="nil"/>
              <w:right w:val="nil"/>
            </w:tcBorders>
            <w:shd w:val="clear" w:color="auto" w:fill="auto"/>
            <w:noWrap/>
            <w:vAlign w:val="bottom"/>
            <w:hideMark/>
          </w:tcPr>
          <w:p w14:paraId="76DFDE02"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1551" w:type="dxa"/>
            <w:tcBorders>
              <w:top w:val="nil"/>
              <w:left w:val="nil"/>
              <w:bottom w:val="nil"/>
              <w:right w:val="nil"/>
            </w:tcBorders>
            <w:shd w:val="clear" w:color="auto" w:fill="auto"/>
            <w:noWrap/>
            <w:vAlign w:val="bottom"/>
            <w:hideMark/>
          </w:tcPr>
          <w:p w14:paraId="0554E37F"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1361" w:type="dxa"/>
            <w:tcBorders>
              <w:top w:val="nil"/>
              <w:left w:val="nil"/>
              <w:bottom w:val="nil"/>
              <w:right w:val="nil"/>
            </w:tcBorders>
            <w:shd w:val="clear" w:color="auto" w:fill="auto"/>
            <w:noWrap/>
            <w:vAlign w:val="bottom"/>
            <w:hideMark/>
          </w:tcPr>
          <w:p w14:paraId="24A840DA"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2367" w:type="dxa"/>
            <w:tcBorders>
              <w:top w:val="nil"/>
              <w:left w:val="nil"/>
              <w:bottom w:val="nil"/>
              <w:right w:val="nil"/>
            </w:tcBorders>
            <w:shd w:val="clear" w:color="auto" w:fill="auto"/>
            <w:noWrap/>
            <w:vAlign w:val="bottom"/>
            <w:hideMark/>
          </w:tcPr>
          <w:p w14:paraId="65CCAA22" w14:textId="77777777" w:rsidR="00A90B8A" w:rsidRPr="00DF679C" w:rsidRDefault="00A90B8A" w:rsidP="00A90B8A">
            <w:pPr>
              <w:spacing w:after="0" w:line="240" w:lineRule="auto"/>
              <w:jc w:val="right"/>
              <w:rPr>
                <w:rFonts w:ascii="Calibri" w:eastAsia="Times New Roman" w:hAnsi="Calibri" w:cs="Times New Roman"/>
                <w:lang w:eastAsia="hr-HR"/>
              </w:rPr>
            </w:pPr>
          </w:p>
        </w:tc>
        <w:tc>
          <w:tcPr>
            <w:tcW w:w="436" w:type="dxa"/>
            <w:tcBorders>
              <w:top w:val="nil"/>
              <w:left w:val="nil"/>
              <w:bottom w:val="nil"/>
              <w:right w:val="nil"/>
            </w:tcBorders>
            <w:shd w:val="clear" w:color="auto" w:fill="auto"/>
            <w:noWrap/>
            <w:vAlign w:val="bottom"/>
            <w:hideMark/>
          </w:tcPr>
          <w:p w14:paraId="77A7CA5E" w14:textId="77777777" w:rsidR="00A90B8A" w:rsidRPr="00DF679C" w:rsidRDefault="00A90B8A" w:rsidP="00A90B8A">
            <w:pPr>
              <w:spacing w:after="0" w:line="240" w:lineRule="auto"/>
              <w:rPr>
                <w:rFonts w:ascii="Calibri" w:eastAsia="Times New Roman" w:hAnsi="Calibri" w:cs="Times New Roman"/>
                <w:lang w:eastAsia="hr-HR"/>
              </w:rPr>
            </w:pPr>
          </w:p>
        </w:tc>
      </w:tr>
      <w:tr w:rsidR="00A90B8A" w:rsidRPr="00DF679C" w14:paraId="332FBDFC" w14:textId="77777777" w:rsidTr="00A90B8A">
        <w:trPr>
          <w:trHeight w:val="315"/>
        </w:trPr>
        <w:tc>
          <w:tcPr>
            <w:tcW w:w="2508" w:type="dxa"/>
            <w:tcBorders>
              <w:top w:val="single" w:sz="4" w:space="0" w:color="auto"/>
              <w:left w:val="nil"/>
              <w:bottom w:val="double" w:sz="6" w:space="0" w:color="auto"/>
              <w:right w:val="nil"/>
            </w:tcBorders>
            <w:shd w:val="clear" w:color="auto" w:fill="auto"/>
            <w:noWrap/>
            <w:vAlign w:val="bottom"/>
            <w:hideMark/>
          </w:tcPr>
          <w:p w14:paraId="7F82A421" w14:textId="77777777" w:rsidR="00A90B8A" w:rsidRPr="00DF679C" w:rsidRDefault="00A90B8A" w:rsidP="00A90B8A">
            <w:pPr>
              <w:spacing w:after="0" w:line="240" w:lineRule="auto"/>
              <w:rPr>
                <w:rFonts w:ascii="Calibri" w:eastAsia="Times New Roman" w:hAnsi="Calibri" w:cs="Times New Roman"/>
                <w:b/>
                <w:bCs/>
                <w:lang w:eastAsia="hr-HR"/>
              </w:rPr>
            </w:pPr>
            <w:r w:rsidRPr="00DF679C">
              <w:rPr>
                <w:rFonts w:ascii="Calibri" w:eastAsia="Times New Roman" w:hAnsi="Calibri" w:cs="Times New Roman"/>
                <w:b/>
                <w:bCs/>
                <w:lang w:eastAsia="hr-HR"/>
              </w:rPr>
              <w:t>Sveukupno</w:t>
            </w:r>
          </w:p>
        </w:tc>
        <w:tc>
          <w:tcPr>
            <w:tcW w:w="1506" w:type="dxa"/>
            <w:tcBorders>
              <w:top w:val="single" w:sz="4" w:space="0" w:color="auto"/>
              <w:left w:val="nil"/>
              <w:bottom w:val="double" w:sz="6" w:space="0" w:color="auto"/>
              <w:right w:val="nil"/>
            </w:tcBorders>
            <w:shd w:val="clear" w:color="auto" w:fill="auto"/>
            <w:noWrap/>
            <w:vAlign w:val="bottom"/>
            <w:hideMark/>
          </w:tcPr>
          <w:p w14:paraId="51DF8464" w14:textId="02873EAB"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63.082.521,50</w:t>
            </w:r>
          </w:p>
        </w:tc>
        <w:tc>
          <w:tcPr>
            <w:tcW w:w="1551" w:type="dxa"/>
            <w:tcBorders>
              <w:top w:val="single" w:sz="4" w:space="0" w:color="auto"/>
              <w:left w:val="nil"/>
              <w:bottom w:val="double" w:sz="6" w:space="0" w:color="auto"/>
              <w:right w:val="nil"/>
            </w:tcBorders>
            <w:shd w:val="clear" w:color="auto" w:fill="auto"/>
            <w:noWrap/>
            <w:vAlign w:val="bottom"/>
            <w:hideMark/>
          </w:tcPr>
          <w:p w14:paraId="06E6DAA8" w14:textId="41F27641"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62.401.221,24</w:t>
            </w:r>
          </w:p>
        </w:tc>
        <w:tc>
          <w:tcPr>
            <w:tcW w:w="1361" w:type="dxa"/>
            <w:tcBorders>
              <w:top w:val="single" w:sz="4" w:space="0" w:color="auto"/>
              <w:left w:val="nil"/>
              <w:bottom w:val="double" w:sz="6" w:space="0" w:color="auto"/>
              <w:right w:val="nil"/>
            </w:tcBorders>
            <w:shd w:val="clear" w:color="auto" w:fill="auto"/>
            <w:noWrap/>
            <w:vAlign w:val="bottom"/>
            <w:hideMark/>
          </w:tcPr>
          <w:p w14:paraId="615F08D7" w14:textId="1D4E2AEE"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(109.538,48)</w:t>
            </w:r>
          </w:p>
        </w:tc>
        <w:tc>
          <w:tcPr>
            <w:tcW w:w="2367" w:type="dxa"/>
            <w:tcBorders>
              <w:top w:val="single" w:sz="4" w:space="0" w:color="auto"/>
              <w:left w:val="nil"/>
              <w:bottom w:val="double" w:sz="6" w:space="0" w:color="auto"/>
              <w:right w:val="nil"/>
            </w:tcBorders>
            <w:shd w:val="clear" w:color="auto" w:fill="auto"/>
            <w:noWrap/>
            <w:vAlign w:val="bottom"/>
            <w:hideMark/>
          </w:tcPr>
          <w:p w14:paraId="15E30796" w14:textId="38FF9432" w:rsidR="00A90B8A" w:rsidRPr="00DF679C" w:rsidRDefault="00A90B8A" w:rsidP="00A90B8A">
            <w:pPr>
              <w:spacing w:after="0" w:line="240" w:lineRule="auto"/>
              <w:jc w:val="right"/>
              <w:rPr>
                <w:rFonts w:ascii="Calibri" w:eastAsia="Times New Roman" w:hAnsi="Calibri" w:cs="Times New Roman"/>
                <w:b/>
                <w:bCs/>
                <w:lang w:eastAsia="hr-HR"/>
              </w:rPr>
            </w:pPr>
            <w:r w:rsidRPr="00DF679C">
              <w:rPr>
                <w:b/>
                <w:bCs/>
              </w:rPr>
              <w:t>(55.476.999,41)</w:t>
            </w:r>
          </w:p>
        </w:tc>
        <w:tc>
          <w:tcPr>
            <w:tcW w:w="436" w:type="dxa"/>
            <w:tcBorders>
              <w:top w:val="nil"/>
              <w:left w:val="nil"/>
              <w:bottom w:val="nil"/>
              <w:right w:val="nil"/>
            </w:tcBorders>
            <w:shd w:val="clear" w:color="auto" w:fill="auto"/>
            <w:noWrap/>
            <w:vAlign w:val="bottom"/>
            <w:hideMark/>
          </w:tcPr>
          <w:p w14:paraId="41A6B30C" w14:textId="77777777" w:rsidR="00A90B8A" w:rsidRPr="00DF679C" w:rsidRDefault="00A90B8A" w:rsidP="00A90B8A">
            <w:pPr>
              <w:spacing w:after="0" w:line="240" w:lineRule="auto"/>
              <w:rPr>
                <w:rFonts w:ascii="Calibri" w:eastAsia="Times New Roman" w:hAnsi="Calibri" w:cs="Times New Roman"/>
                <w:lang w:eastAsia="hr-HR"/>
              </w:rPr>
            </w:pPr>
          </w:p>
        </w:tc>
      </w:tr>
    </w:tbl>
    <w:p w14:paraId="4998323B" w14:textId="77777777" w:rsidR="003442D8" w:rsidRPr="00DF679C" w:rsidRDefault="003442D8" w:rsidP="003442D8">
      <w:pPr>
        <w:spacing w:after="0" w:line="240" w:lineRule="auto"/>
        <w:ind w:right="92"/>
        <w:jc w:val="both"/>
        <w:rPr>
          <w:rFonts w:ascii="Calibri" w:eastAsia="Times New Roman" w:hAnsi="Calibri" w:cs="Times New Roman"/>
          <w:sz w:val="24"/>
          <w:szCs w:val="24"/>
        </w:rPr>
      </w:pPr>
    </w:p>
    <w:p w14:paraId="6ECBD86C" w14:textId="77777777" w:rsidR="00205649" w:rsidRPr="00DF679C" w:rsidRDefault="00205649" w:rsidP="003442D8">
      <w:pPr>
        <w:spacing w:after="0" w:line="240" w:lineRule="auto"/>
        <w:ind w:right="92"/>
        <w:jc w:val="both"/>
        <w:rPr>
          <w:rFonts w:ascii="Calibri" w:eastAsia="Times New Roman" w:hAnsi="Calibri" w:cs="Times New Roman"/>
          <w:sz w:val="24"/>
          <w:szCs w:val="24"/>
        </w:rPr>
      </w:pPr>
    </w:p>
    <w:p w14:paraId="1D3AA305" w14:textId="51C4EDB6" w:rsidR="003442D8" w:rsidRPr="00DF679C" w:rsidRDefault="003442D8" w:rsidP="003442D8">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sz w:val="24"/>
          <w:szCs w:val="24"/>
        </w:rPr>
        <w:t>Kao što je iz tablice vidljivo, ukupno fakturirana naknada za razvoj iznosi</w:t>
      </w:r>
      <w:r w:rsidR="00217F55" w:rsidRPr="00DF679C">
        <w:rPr>
          <w:rFonts w:ascii="Calibri" w:eastAsia="Times New Roman" w:hAnsi="Calibri" w:cs="Times New Roman"/>
          <w:sz w:val="24"/>
          <w:szCs w:val="24"/>
        </w:rPr>
        <w:t xml:space="preserve"> </w:t>
      </w:r>
      <w:r w:rsidR="00A90B8A" w:rsidRPr="00DF679C">
        <w:rPr>
          <w:rFonts w:ascii="Calibri" w:eastAsia="Times New Roman" w:hAnsi="Calibri" w:cs="Times New Roman"/>
          <w:sz w:val="24"/>
          <w:szCs w:val="24"/>
        </w:rPr>
        <w:t>63.082.521,50</w:t>
      </w:r>
      <w:r w:rsidRPr="00DF679C">
        <w:rPr>
          <w:rFonts w:ascii="Calibri" w:eastAsia="Times New Roman" w:hAnsi="Calibri" w:cs="Times New Roman"/>
          <w:sz w:val="24"/>
          <w:szCs w:val="24"/>
        </w:rPr>
        <w:t xml:space="preserve"> kn, </w:t>
      </w:r>
      <w:r w:rsidRPr="004641A9">
        <w:rPr>
          <w:rFonts w:ascii="Calibri" w:eastAsia="Times New Roman" w:hAnsi="Calibri" w:cs="Times New Roman"/>
          <w:sz w:val="24"/>
          <w:szCs w:val="24"/>
        </w:rPr>
        <w:t xml:space="preserve">otpisano je </w:t>
      </w:r>
      <w:r w:rsidR="00A90B8A" w:rsidRPr="004641A9">
        <w:rPr>
          <w:rFonts w:ascii="Calibri" w:eastAsia="Times New Roman" w:hAnsi="Calibri" w:cs="Times New Roman"/>
          <w:sz w:val="24"/>
          <w:szCs w:val="24"/>
        </w:rPr>
        <w:t>109.538,48</w:t>
      </w:r>
      <w:r w:rsidRPr="004641A9">
        <w:rPr>
          <w:rFonts w:ascii="Calibri" w:eastAsia="Times New Roman" w:hAnsi="Calibri" w:cs="Times New Roman"/>
          <w:sz w:val="24"/>
          <w:szCs w:val="24"/>
        </w:rPr>
        <w:t xml:space="preserve"> kn, naplaćena (prikupljena) naknada za razvoj je </w:t>
      </w:r>
      <w:r w:rsidR="00A90B8A" w:rsidRPr="004641A9">
        <w:rPr>
          <w:rFonts w:ascii="Calibri" w:eastAsia="Times New Roman" w:hAnsi="Calibri" w:cs="Times New Roman"/>
          <w:sz w:val="24"/>
          <w:szCs w:val="24"/>
        </w:rPr>
        <w:t>62.401.221,24</w:t>
      </w:r>
      <w:r w:rsidRPr="004641A9">
        <w:rPr>
          <w:rFonts w:ascii="Calibri" w:eastAsia="Times New Roman" w:hAnsi="Calibri" w:cs="Times New Roman"/>
          <w:sz w:val="24"/>
          <w:szCs w:val="24"/>
        </w:rPr>
        <w:t xml:space="preserve"> kn od čega je utrošeno </w:t>
      </w:r>
      <w:r w:rsidR="00A90B8A" w:rsidRPr="004641A9">
        <w:rPr>
          <w:rFonts w:ascii="Calibri" w:eastAsia="Times New Roman" w:hAnsi="Calibri" w:cs="Times New Roman"/>
          <w:sz w:val="24"/>
          <w:szCs w:val="24"/>
        </w:rPr>
        <w:t>55.476.999,41</w:t>
      </w:r>
      <w:r w:rsidRPr="004641A9">
        <w:rPr>
          <w:rFonts w:ascii="Calibri" w:eastAsia="Times New Roman" w:hAnsi="Calibri" w:cs="Times New Roman"/>
          <w:sz w:val="24"/>
          <w:szCs w:val="24"/>
        </w:rPr>
        <w:t xml:space="preserve"> </w:t>
      </w:r>
      <w:r w:rsidR="001F5C5D" w:rsidRPr="004641A9">
        <w:rPr>
          <w:rFonts w:ascii="Calibri" w:eastAsia="Times New Roman" w:hAnsi="Calibri" w:cs="Times New Roman"/>
          <w:sz w:val="24"/>
          <w:szCs w:val="24"/>
        </w:rPr>
        <w:t>kn</w:t>
      </w:r>
      <w:r w:rsidRPr="004641A9">
        <w:rPr>
          <w:rFonts w:ascii="Calibri" w:eastAsia="Times New Roman" w:hAnsi="Calibri" w:cs="Times New Roman"/>
          <w:sz w:val="24"/>
          <w:szCs w:val="24"/>
        </w:rPr>
        <w:t xml:space="preserve"> te proizlazi da neutrošena, naplaćena naknada za razvoj iznosi </w:t>
      </w:r>
      <w:r w:rsidR="00217F55" w:rsidRPr="004641A9">
        <w:rPr>
          <w:rFonts w:ascii="Calibri" w:eastAsia="Times New Roman" w:hAnsi="Calibri" w:cs="Times New Roman"/>
          <w:sz w:val="24"/>
          <w:szCs w:val="24"/>
        </w:rPr>
        <w:t>6.</w:t>
      </w:r>
      <w:r w:rsidR="00EC1ED8" w:rsidRPr="004641A9">
        <w:rPr>
          <w:rFonts w:ascii="Calibri" w:eastAsia="Times New Roman" w:hAnsi="Calibri" w:cs="Times New Roman"/>
          <w:sz w:val="24"/>
          <w:szCs w:val="24"/>
        </w:rPr>
        <w:t>924.221,83</w:t>
      </w:r>
      <w:r w:rsidR="005F6527" w:rsidRPr="004641A9">
        <w:rPr>
          <w:rFonts w:ascii="Calibri" w:eastAsia="Times New Roman" w:hAnsi="Calibri" w:cs="Times New Roman"/>
          <w:sz w:val="24"/>
          <w:szCs w:val="24"/>
        </w:rPr>
        <w:t xml:space="preserve"> </w:t>
      </w:r>
      <w:r w:rsidRPr="004641A9">
        <w:rPr>
          <w:rFonts w:ascii="Calibri" w:eastAsia="Times New Roman" w:hAnsi="Calibri" w:cs="Times New Roman"/>
          <w:sz w:val="24"/>
          <w:szCs w:val="24"/>
        </w:rPr>
        <w:t>kn.</w:t>
      </w:r>
    </w:p>
    <w:p w14:paraId="4918B25A" w14:textId="77777777" w:rsidR="00656030" w:rsidRPr="00DF679C" w:rsidRDefault="00656030" w:rsidP="003442D8">
      <w:pPr>
        <w:spacing w:after="0" w:line="240" w:lineRule="auto"/>
        <w:ind w:right="92"/>
        <w:jc w:val="both"/>
        <w:rPr>
          <w:rFonts w:ascii="Calibri" w:eastAsia="Times New Roman" w:hAnsi="Calibri" w:cs="Times New Roman"/>
          <w:b/>
          <w:sz w:val="24"/>
          <w:szCs w:val="24"/>
        </w:rPr>
      </w:pPr>
    </w:p>
    <w:p w14:paraId="48D54C43" w14:textId="7BDA7EDF" w:rsidR="003442D8" w:rsidRPr="00DF679C" w:rsidRDefault="003442D8" w:rsidP="003442D8">
      <w:pPr>
        <w:spacing w:after="0" w:line="240" w:lineRule="auto"/>
        <w:ind w:right="92"/>
        <w:jc w:val="both"/>
        <w:rPr>
          <w:rFonts w:ascii="Calibri" w:eastAsia="Times New Roman" w:hAnsi="Calibri" w:cs="Times New Roman"/>
          <w:b/>
          <w:sz w:val="24"/>
          <w:szCs w:val="24"/>
        </w:rPr>
      </w:pPr>
      <w:r w:rsidRPr="00DF679C">
        <w:rPr>
          <w:rFonts w:ascii="Calibri" w:eastAsia="Times New Roman" w:hAnsi="Calibri" w:cs="Times New Roman"/>
          <w:b/>
          <w:sz w:val="24"/>
          <w:szCs w:val="24"/>
        </w:rPr>
        <w:t xml:space="preserve">* </w:t>
      </w:r>
      <w:r w:rsidRPr="00DF679C">
        <w:rPr>
          <w:rFonts w:ascii="Calibri" w:eastAsia="Times New Roman" w:hAnsi="Calibri" w:cs="Times New Roman"/>
          <w:sz w:val="24"/>
          <w:szCs w:val="24"/>
        </w:rPr>
        <w:t xml:space="preserve">Od iznosa utrošene naknade za razvoj na otplatu glavnice kredita odnosi se </w:t>
      </w:r>
      <w:r w:rsidR="00BA0365" w:rsidRPr="00DF679C">
        <w:rPr>
          <w:rFonts w:ascii="Calibri" w:eastAsia="Times New Roman" w:hAnsi="Calibri" w:cs="Times New Roman"/>
          <w:sz w:val="24"/>
          <w:szCs w:val="24"/>
        </w:rPr>
        <w:t>2.</w:t>
      </w:r>
      <w:r w:rsidR="00EC1ED8" w:rsidRPr="00DF679C">
        <w:rPr>
          <w:rFonts w:ascii="Calibri" w:eastAsia="Times New Roman" w:hAnsi="Calibri" w:cs="Times New Roman"/>
          <w:sz w:val="24"/>
          <w:szCs w:val="24"/>
        </w:rPr>
        <w:t>699.971,33</w:t>
      </w:r>
      <w:r w:rsidRPr="00DF679C">
        <w:rPr>
          <w:rFonts w:ascii="Calibri" w:eastAsia="Times New Roman" w:hAnsi="Calibri" w:cs="Times New Roman"/>
          <w:sz w:val="24"/>
          <w:szCs w:val="24"/>
        </w:rPr>
        <w:t xml:space="preserve"> kn te za otplatu kamate kredita </w:t>
      </w:r>
      <w:r w:rsidR="00EC1ED8" w:rsidRPr="00DF679C">
        <w:rPr>
          <w:rFonts w:ascii="Calibri" w:eastAsia="Times New Roman" w:hAnsi="Calibri" w:cs="Times New Roman"/>
          <w:sz w:val="24"/>
          <w:szCs w:val="24"/>
        </w:rPr>
        <w:t>49.450,74</w:t>
      </w:r>
      <w:r w:rsidRPr="00DF679C">
        <w:rPr>
          <w:rFonts w:ascii="Calibri" w:eastAsia="Times New Roman" w:hAnsi="Calibri" w:cs="Times New Roman"/>
          <w:sz w:val="24"/>
          <w:szCs w:val="24"/>
        </w:rPr>
        <w:t xml:space="preserve"> kn.</w:t>
      </w:r>
    </w:p>
    <w:p w14:paraId="39DB84FA" w14:textId="77777777" w:rsidR="003442D8" w:rsidRPr="00DF679C" w:rsidRDefault="003442D8" w:rsidP="003442D8">
      <w:pPr>
        <w:spacing w:after="0" w:line="240" w:lineRule="auto"/>
        <w:ind w:right="92"/>
        <w:jc w:val="both"/>
        <w:rPr>
          <w:rFonts w:ascii="Calibri" w:eastAsia="Times New Roman" w:hAnsi="Calibri" w:cs="Times New Roman"/>
          <w:b/>
          <w:sz w:val="24"/>
          <w:szCs w:val="24"/>
        </w:rPr>
      </w:pPr>
    </w:p>
    <w:p w14:paraId="35892E1B" w14:textId="58A12239" w:rsidR="003442D8" w:rsidRPr="00DF679C" w:rsidRDefault="003442D8" w:rsidP="003442D8">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b/>
          <w:sz w:val="24"/>
          <w:szCs w:val="24"/>
        </w:rPr>
        <w:t xml:space="preserve">** </w:t>
      </w:r>
      <w:r w:rsidRPr="00DF679C">
        <w:rPr>
          <w:rFonts w:ascii="Calibri" w:eastAsia="Times New Roman" w:hAnsi="Calibri" w:cs="Times New Roman"/>
          <w:sz w:val="24"/>
          <w:szCs w:val="24"/>
        </w:rPr>
        <w:t xml:space="preserve">Od ukupno utrošene naknade za razvoj za ostale projekte u iznosu od </w:t>
      </w:r>
      <w:r w:rsidR="004D26BB" w:rsidRPr="00DF679C">
        <w:rPr>
          <w:rFonts w:ascii="Calibri" w:eastAsia="Times New Roman" w:hAnsi="Calibri" w:cs="Times New Roman"/>
          <w:sz w:val="24"/>
          <w:szCs w:val="24"/>
        </w:rPr>
        <w:t xml:space="preserve">1.718.846,52 </w:t>
      </w:r>
      <w:r w:rsidRPr="00DF679C">
        <w:rPr>
          <w:rFonts w:ascii="Calibri" w:eastAsia="Times New Roman" w:hAnsi="Calibri" w:cs="Times New Roman"/>
          <w:sz w:val="24"/>
          <w:szCs w:val="24"/>
        </w:rPr>
        <w:t xml:space="preserve">kn, iznos od </w:t>
      </w:r>
      <w:r w:rsidR="004D26BB" w:rsidRPr="00DF679C">
        <w:rPr>
          <w:rFonts w:ascii="Calibri" w:eastAsia="Times New Roman" w:hAnsi="Calibri" w:cs="Times New Roman"/>
          <w:sz w:val="24"/>
          <w:szCs w:val="24"/>
        </w:rPr>
        <w:t>343.207,82</w:t>
      </w:r>
      <w:r w:rsidRPr="00DF679C">
        <w:rPr>
          <w:rFonts w:ascii="Calibri" w:eastAsia="Times New Roman" w:hAnsi="Calibri" w:cs="Times New Roman"/>
          <w:sz w:val="24"/>
          <w:szCs w:val="24"/>
        </w:rPr>
        <w:t xml:space="preserve"> kn se odnosi na naknadu koja je prikupljena i utrošena na području Općine Baška, iznos od </w:t>
      </w:r>
      <w:r w:rsidR="004D26BB" w:rsidRPr="00DF679C">
        <w:rPr>
          <w:rFonts w:ascii="Calibri" w:eastAsia="Times New Roman" w:hAnsi="Calibri" w:cs="Times New Roman"/>
          <w:sz w:val="24"/>
          <w:szCs w:val="24"/>
        </w:rPr>
        <w:t>395.063,30</w:t>
      </w:r>
      <w:r w:rsidRPr="00DF679C">
        <w:rPr>
          <w:rFonts w:ascii="Calibri" w:eastAsia="Times New Roman" w:hAnsi="Calibri" w:cs="Times New Roman"/>
          <w:sz w:val="24"/>
          <w:szCs w:val="24"/>
        </w:rPr>
        <w:t xml:space="preserve"> kn na području Općine Dobrinj, iznos od </w:t>
      </w:r>
      <w:r w:rsidR="004D26BB" w:rsidRPr="00DF679C">
        <w:rPr>
          <w:rFonts w:ascii="Calibri" w:eastAsia="Times New Roman" w:hAnsi="Calibri" w:cs="Times New Roman"/>
          <w:sz w:val="24"/>
          <w:szCs w:val="24"/>
        </w:rPr>
        <w:t>396.014,34</w:t>
      </w:r>
      <w:r w:rsidRPr="00DF679C">
        <w:rPr>
          <w:rFonts w:ascii="Calibri" w:eastAsia="Times New Roman" w:hAnsi="Calibri" w:cs="Times New Roman"/>
          <w:sz w:val="24"/>
          <w:szCs w:val="24"/>
        </w:rPr>
        <w:t xml:space="preserve"> kn na području Općine Malinska-Dubašnica, iznos od </w:t>
      </w:r>
      <w:r w:rsidR="004D26BB" w:rsidRPr="00DF679C">
        <w:rPr>
          <w:rFonts w:ascii="Calibri" w:eastAsia="Times New Roman" w:hAnsi="Calibri" w:cs="Times New Roman"/>
          <w:sz w:val="24"/>
          <w:szCs w:val="24"/>
        </w:rPr>
        <w:t>212.684,25</w:t>
      </w:r>
      <w:r w:rsidRPr="00DF679C">
        <w:rPr>
          <w:rFonts w:ascii="Calibri" w:eastAsia="Times New Roman" w:hAnsi="Calibri" w:cs="Times New Roman"/>
          <w:sz w:val="24"/>
          <w:szCs w:val="24"/>
        </w:rPr>
        <w:t xml:space="preserve"> kn na području Općine Punat</w:t>
      </w:r>
      <w:r w:rsidR="004D26BB" w:rsidRPr="00DF679C">
        <w:rPr>
          <w:rFonts w:ascii="Calibri" w:eastAsia="Times New Roman" w:hAnsi="Calibri" w:cs="Times New Roman"/>
          <w:sz w:val="24"/>
          <w:szCs w:val="24"/>
        </w:rPr>
        <w:t>, iznos od 250.000,00 kn na području Općine Omišalj dok je zbog dodatno osiguranih sredstava Hrvatskih voda za sufinanciranje investicije izgradnje vodovoda na području Općine Vrbnik vraćen iznos od 35.239,79 kn naknade za razvoj koja se može utrošiti u sufinanciranju novih investicija</w:t>
      </w:r>
      <w:r w:rsidRPr="00DF679C">
        <w:rPr>
          <w:rFonts w:ascii="Calibri" w:eastAsia="Times New Roman" w:hAnsi="Calibri" w:cs="Times New Roman"/>
          <w:sz w:val="24"/>
          <w:szCs w:val="24"/>
        </w:rPr>
        <w:t>.</w:t>
      </w:r>
    </w:p>
    <w:p w14:paraId="6ABA9FFE" w14:textId="77777777" w:rsidR="003442D8" w:rsidRPr="00DF679C" w:rsidRDefault="003442D8" w:rsidP="003442D8">
      <w:pPr>
        <w:spacing w:after="0" w:line="240" w:lineRule="auto"/>
        <w:ind w:right="92"/>
        <w:jc w:val="both"/>
        <w:rPr>
          <w:rFonts w:ascii="Calibri" w:eastAsia="Times New Roman" w:hAnsi="Calibri" w:cs="Times New Roman"/>
          <w:sz w:val="24"/>
          <w:szCs w:val="24"/>
        </w:rPr>
      </w:pPr>
    </w:p>
    <w:p w14:paraId="1498B97B" w14:textId="77777777" w:rsidR="003442D8" w:rsidRPr="00DF679C" w:rsidRDefault="003442D8" w:rsidP="003442D8">
      <w:pPr>
        <w:spacing w:after="0" w:line="240" w:lineRule="auto"/>
        <w:rPr>
          <w:rFonts w:ascii="Calibri" w:eastAsia="Times New Roman" w:hAnsi="Calibri" w:cs="Times New Roman"/>
          <w:sz w:val="24"/>
          <w:szCs w:val="24"/>
        </w:rPr>
      </w:pPr>
    </w:p>
    <w:p w14:paraId="42104DDE"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POTENCIJALNE OBVEZE</w:t>
      </w:r>
    </w:p>
    <w:p w14:paraId="0688219B" w14:textId="77777777" w:rsidR="003442D8" w:rsidRPr="00DF679C" w:rsidRDefault="003442D8" w:rsidP="003442D8">
      <w:pPr>
        <w:spacing w:after="0" w:line="240" w:lineRule="auto"/>
        <w:rPr>
          <w:rFonts w:ascii="Calibri" w:eastAsia="Times New Roman" w:hAnsi="Calibri" w:cs="Times New Roman"/>
          <w:sz w:val="24"/>
          <w:szCs w:val="24"/>
        </w:rPr>
      </w:pPr>
    </w:p>
    <w:p w14:paraId="2F7DF6A0" w14:textId="77777777" w:rsidR="003442D8" w:rsidRPr="00DF679C" w:rsidRDefault="003442D8" w:rsidP="003442D8">
      <w:pPr>
        <w:spacing w:after="0" w:line="240" w:lineRule="auto"/>
        <w:ind w:right="92"/>
        <w:jc w:val="both"/>
        <w:rPr>
          <w:rFonts w:ascii="Calibri" w:eastAsia="Times New Roman" w:hAnsi="Calibri" w:cs="Times New Roman"/>
          <w:b/>
          <w:sz w:val="24"/>
          <w:szCs w:val="24"/>
        </w:rPr>
      </w:pPr>
      <w:bookmarkStart w:id="49" w:name="_MON_1395660628"/>
      <w:bookmarkStart w:id="50" w:name="_MON_1395660672"/>
      <w:bookmarkStart w:id="51" w:name="_MON_1395660739"/>
      <w:bookmarkStart w:id="52" w:name="_MON_1395660835"/>
      <w:bookmarkStart w:id="53" w:name="_MON_1395660861"/>
      <w:bookmarkStart w:id="54" w:name="_MON_1395832353"/>
      <w:bookmarkStart w:id="55" w:name="_MON_1395832374"/>
      <w:bookmarkStart w:id="56" w:name="_MON_1395210885"/>
      <w:bookmarkStart w:id="57" w:name="_MON_1395660338"/>
      <w:bookmarkStart w:id="58" w:name="_MON_1395660492"/>
      <w:bookmarkStart w:id="59" w:name="_MON_1395660402"/>
      <w:bookmarkEnd w:id="49"/>
      <w:bookmarkEnd w:id="50"/>
      <w:bookmarkEnd w:id="51"/>
      <w:bookmarkEnd w:id="52"/>
      <w:bookmarkEnd w:id="53"/>
      <w:bookmarkEnd w:id="54"/>
      <w:bookmarkEnd w:id="55"/>
      <w:bookmarkEnd w:id="56"/>
      <w:bookmarkEnd w:id="57"/>
      <w:bookmarkEnd w:id="58"/>
      <w:bookmarkEnd w:id="59"/>
      <w:r w:rsidRPr="00DF679C">
        <w:rPr>
          <w:rFonts w:ascii="Calibri" w:eastAsia="Times New Roman" w:hAnsi="Calibri" w:cs="Times New Roman"/>
          <w:b/>
          <w:sz w:val="24"/>
          <w:szCs w:val="24"/>
        </w:rPr>
        <w:t>/i/ Sudski sporovi</w:t>
      </w:r>
    </w:p>
    <w:p w14:paraId="0E6B1E43"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754EAF2E" w14:textId="1B168F6D" w:rsidR="00F2139B" w:rsidRDefault="003442D8" w:rsidP="003442D8">
      <w:pPr>
        <w:spacing w:after="0" w:line="240" w:lineRule="auto"/>
        <w:ind w:right="92"/>
        <w:jc w:val="both"/>
        <w:rPr>
          <w:rFonts w:ascii="Calibri" w:eastAsia="Times New Roman" w:hAnsi="Calibri" w:cs="Times New Roman"/>
          <w:iCs/>
          <w:sz w:val="24"/>
          <w:szCs w:val="24"/>
        </w:rPr>
      </w:pPr>
      <w:bookmarkStart w:id="60" w:name="_Hlk65860402"/>
      <w:r w:rsidRPr="00DF679C">
        <w:rPr>
          <w:rFonts w:ascii="Calibri" w:eastAsia="Times New Roman" w:hAnsi="Calibri" w:cs="Times New Roman"/>
          <w:iCs/>
          <w:sz w:val="24"/>
          <w:szCs w:val="24"/>
        </w:rPr>
        <w:t xml:space="preserve">Tvrtka </w:t>
      </w:r>
      <w:r w:rsidRPr="00DF679C">
        <w:rPr>
          <w:rFonts w:ascii="Calibri" w:eastAsia="Times New Roman" w:hAnsi="Calibri" w:cs="Times New Roman"/>
          <w:b/>
          <w:bCs/>
          <w:iCs/>
          <w:sz w:val="24"/>
          <w:szCs w:val="24"/>
        </w:rPr>
        <w:t>Brauco d.o.o.</w:t>
      </w:r>
      <w:r w:rsidRPr="00DF679C">
        <w:rPr>
          <w:rFonts w:ascii="Calibri" w:eastAsia="Times New Roman" w:hAnsi="Calibri" w:cs="Times New Roman"/>
          <w:iCs/>
          <w:sz w:val="24"/>
          <w:szCs w:val="24"/>
        </w:rPr>
        <w:t xml:space="preserve"> Zagreb je u 2014. godini podnijela tužbu pod poslovnim brojem P-1750/14 protiv 1. okrivljene tvrtke Vodoskok d.o.o. i 2. okrivljene Ponikve voda d.o.o. radi isplate ukupnog iznosa od 589.733,58 kn pozivajući se na nepodmirene radove na dvije investicije (Izgradnja II faze kanalizacije naselja Dobrinj i Izgradnja vodovoda i fekalne kanalizacije u naselju Stara Baška</w:t>
      </w:r>
      <w:r w:rsidR="00F2139B">
        <w:rPr>
          <w:rFonts w:ascii="Calibri" w:eastAsia="Times New Roman" w:hAnsi="Calibri" w:cs="Times New Roman"/>
          <w:iCs/>
          <w:sz w:val="24"/>
          <w:szCs w:val="24"/>
        </w:rPr>
        <w:t xml:space="preserve"> dok </w:t>
      </w:r>
      <w:r w:rsidRPr="001F6422">
        <w:rPr>
          <w:rFonts w:ascii="Calibri" w:eastAsia="Times New Roman" w:hAnsi="Calibri" w:cs="Times New Roman"/>
          <w:iCs/>
          <w:sz w:val="24"/>
          <w:szCs w:val="24"/>
        </w:rPr>
        <w:t xml:space="preserve">Ponikve voda </w:t>
      </w:r>
      <w:r w:rsidR="00F2139B" w:rsidRPr="001F6422">
        <w:rPr>
          <w:rFonts w:ascii="Calibri" w:eastAsia="Times New Roman" w:hAnsi="Calibri" w:cs="Times New Roman"/>
          <w:iCs/>
          <w:sz w:val="24"/>
          <w:szCs w:val="24"/>
        </w:rPr>
        <w:t>prihvaća</w:t>
      </w:r>
      <w:r w:rsidR="00F2139B">
        <w:rPr>
          <w:rFonts w:ascii="Calibri" w:eastAsia="Times New Roman" w:hAnsi="Calibri" w:cs="Times New Roman"/>
          <w:iCs/>
          <w:sz w:val="24"/>
          <w:szCs w:val="24"/>
        </w:rPr>
        <w:t xml:space="preserve"> </w:t>
      </w:r>
      <w:r w:rsidRPr="00DF679C">
        <w:rPr>
          <w:rFonts w:ascii="Calibri" w:eastAsia="Times New Roman" w:hAnsi="Calibri" w:cs="Times New Roman"/>
          <w:iCs/>
          <w:sz w:val="24"/>
          <w:szCs w:val="24"/>
        </w:rPr>
        <w:t>iznos od 69.660,00 kn</w:t>
      </w:r>
      <w:r w:rsidR="00F2139B">
        <w:rPr>
          <w:rFonts w:ascii="Calibri" w:eastAsia="Times New Roman" w:hAnsi="Calibri" w:cs="Times New Roman"/>
          <w:iCs/>
          <w:sz w:val="24"/>
          <w:szCs w:val="24"/>
        </w:rPr>
        <w:t xml:space="preserve">. </w:t>
      </w:r>
    </w:p>
    <w:p w14:paraId="3B1DDE48" w14:textId="038F932B" w:rsidR="003442D8" w:rsidRPr="00DF679C" w:rsidRDefault="00383A04" w:rsidP="003442D8">
      <w:pPr>
        <w:spacing w:after="0" w:line="240" w:lineRule="auto"/>
        <w:ind w:right="92"/>
        <w:jc w:val="both"/>
        <w:rPr>
          <w:rFonts w:ascii="Calibri" w:eastAsia="Times New Roman" w:hAnsi="Calibri" w:cs="Times New Roman"/>
          <w:iCs/>
          <w:sz w:val="24"/>
          <w:szCs w:val="24"/>
        </w:rPr>
      </w:pPr>
      <w:r w:rsidRPr="00315735">
        <w:rPr>
          <w:rFonts w:ascii="Calibri" w:eastAsia="Times New Roman" w:hAnsi="Calibri" w:cs="Times New Roman"/>
          <w:iCs/>
          <w:sz w:val="24"/>
          <w:szCs w:val="24"/>
        </w:rPr>
        <w:lastRenderedPageBreak/>
        <w:t>Tvrtka Brauco je  otišla u stečaj. S</w:t>
      </w:r>
      <w:r w:rsidRPr="00315735">
        <w:rPr>
          <w:sz w:val="24"/>
          <w:szCs w:val="24"/>
        </w:rPr>
        <w:t>tečajni postupak je okončan, a firma je brisana iz sudskog registra.</w:t>
      </w:r>
      <w:r w:rsidR="001F6422">
        <w:rPr>
          <w:sz w:val="24"/>
          <w:szCs w:val="24"/>
        </w:rPr>
        <w:t xml:space="preserve"> </w:t>
      </w:r>
      <w:r w:rsidR="003442D8" w:rsidRPr="00315735">
        <w:rPr>
          <w:rFonts w:ascii="Calibri" w:eastAsia="Times New Roman" w:hAnsi="Calibri" w:cs="Times New Roman"/>
          <w:iCs/>
          <w:sz w:val="24"/>
          <w:szCs w:val="24"/>
        </w:rPr>
        <w:t>Postupak je u tijeku.</w:t>
      </w:r>
    </w:p>
    <w:bookmarkEnd w:id="60"/>
    <w:p w14:paraId="4AFE75DE" w14:textId="77777777" w:rsidR="004641A9" w:rsidRPr="00DF679C" w:rsidRDefault="004641A9" w:rsidP="003442D8">
      <w:pPr>
        <w:spacing w:after="0" w:line="240" w:lineRule="auto"/>
        <w:ind w:right="92"/>
        <w:jc w:val="both"/>
        <w:rPr>
          <w:rFonts w:ascii="Calibri" w:eastAsia="Times New Roman" w:hAnsi="Calibri" w:cs="Times New Roman"/>
          <w:b/>
          <w:bCs/>
          <w:sz w:val="24"/>
          <w:szCs w:val="24"/>
        </w:rPr>
      </w:pPr>
    </w:p>
    <w:p w14:paraId="0A8BD8E5" w14:textId="77777777" w:rsidR="002A3921" w:rsidRPr="00DF679C" w:rsidRDefault="00C15FEB" w:rsidP="003442D8">
      <w:pPr>
        <w:spacing w:after="0" w:line="240" w:lineRule="auto"/>
        <w:ind w:right="92"/>
        <w:jc w:val="both"/>
        <w:rPr>
          <w:rFonts w:ascii="Calibri" w:eastAsia="Times New Roman" w:hAnsi="Calibri" w:cs="Times New Roman"/>
          <w:b/>
          <w:bCs/>
          <w:sz w:val="24"/>
          <w:szCs w:val="24"/>
        </w:rPr>
      </w:pPr>
      <w:r w:rsidRPr="00DF679C">
        <w:rPr>
          <w:rFonts w:ascii="Calibri" w:eastAsia="Times New Roman" w:hAnsi="Calibri" w:cs="Times New Roman"/>
          <w:b/>
          <w:bCs/>
          <w:sz w:val="24"/>
          <w:szCs w:val="24"/>
        </w:rPr>
        <w:t>/ii/</w:t>
      </w:r>
      <w:r w:rsidRPr="00DF679C">
        <w:rPr>
          <w:rFonts w:ascii="Calibri" w:eastAsia="Times New Roman" w:hAnsi="Calibri" w:cs="Times New Roman"/>
          <w:b/>
          <w:bCs/>
          <w:sz w:val="24"/>
          <w:szCs w:val="24"/>
        </w:rPr>
        <w:tab/>
      </w:r>
      <w:r w:rsidR="002A3921" w:rsidRPr="00DF679C">
        <w:rPr>
          <w:rFonts w:ascii="Calibri" w:eastAsia="Times New Roman" w:hAnsi="Calibri" w:cs="Times New Roman"/>
          <w:b/>
          <w:bCs/>
          <w:sz w:val="24"/>
          <w:szCs w:val="24"/>
        </w:rPr>
        <w:t xml:space="preserve">Upravljanje EU projektom (ugovor s društvom </w:t>
      </w:r>
      <w:r w:rsidRPr="00DF679C">
        <w:rPr>
          <w:rFonts w:ascii="Calibri" w:eastAsia="Times New Roman" w:hAnsi="Calibri" w:cs="Times New Roman"/>
          <w:b/>
          <w:bCs/>
          <w:sz w:val="24"/>
          <w:szCs w:val="24"/>
        </w:rPr>
        <w:t>Ernst</w:t>
      </w:r>
      <w:r w:rsidR="009C6CF6" w:rsidRPr="00DF679C">
        <w:rPr>
          <w:rFonts w:ascii="Calibri" w:eastAsia="Times New Roman" w:hAnsi="Calibri" w:cs="Times New Roman"/>
          <w:b/>
          <w:bCs/>
          <w:sz w:val="24"/>
          <w:szCs w:val="24"/>
        </w:rPr>
        <w:t xml:space="preserve"> </w:t>
      </w:r>
      <w:r w:rsidRPr="00DF679C">
        <w:rPr>
          <w:rFonts w:ascii="Calibri" w:eastAsia="Times New Roman" w:hAnsi="Calibri" w:cs="Times New Roman"/>
          <w:b/>
          <w:bCs/>
          <w:sz w:val="24"/>
          <w:szCs w:val="24"/>
        </w:rPr>
        <w:t>&amp;</w:t>
      </w:r>
      <w:r w:rsidR="009C6CF6" w:rsidRPr="00DF679C">
        <w:rPr>
          <w:rFonts w:ascii="Calibri" w:eastAsia="Times New Roman" w:hAnsi="Calibri" w:cs="Times New Roman"/>
          <w:b/>
          <w:bCs/>
          <w:sz w:val="24"/>
          <w:szCs w:val="24"/>
        </w:rPr>
        <w:t xml:space="preserve"> </w:t>
      </w:r>
      <w:r w:rsidRPr="00DF679C">
        <w:rPr>
          <w:rFonts w:ascii="Calibri" w:eastAsia="Times New Roman" w:hAnsi="Calibri" w:cs="Times New Roman"/>
          <w:b/>
          <w:bCs/>
          <w:sz w:val="24"/>
          <w:szCs w:val="24"/>
        </w:rPr>
        <w:t>Young</w:t>
      </w:r>
      <w:r w:rsidR="006B1B34" w:rsidRPr="00DF679C">
        <w:rPr>
          <w:rFonts w:ascii="Calibri" w:eastAsia="Times New Roman" w:hAnsi="Calibri" w:cs="Times New Roman"/>
          <w:b/>
          <w:bCs/>
          <w:sz w:val="24"/>
          <w:szCs w:val="24"/>
        </w:rPr>
        <w:t xml:space="preserve"> </w:t>
      </w:r>
      <w:r w:rsidR="00BC6BBE" w:rsidRPr="00DF679C">
        <w:rPr>
          <w:rFonts w:ascii="Calibri" w:eastAsia="Times New Roman" w:hAnsi="Calibri" w:cs="Times New Roman"/>
          <w:b/>
          <w:bCs/>
          <w:sz w:val="24"/>
          <w:szCs w:val="24"/>
        </w:rPr>
        <w:t xml:space="preserve">savjetovanje </w:t>
      </w:r>
      <w:r w:rsidR="002A3921" w:rsidRPr="00DF679C">
        <w:rPr>
          <w:rFonts w:ascii="Calibri" w:eastAsia="Times New Roman" w:hAnsi="Calibri" w:cs="Times New Roman"/>
          <w:b/>
          <w:bCs/>
          <w:sz w:val="24"/>
          <w:szCs w:val="24"/>
        </w:rPr>
        <w:t>d.o.o.)</w:t>
      </w:r>
    </w:p>
    <w:p w14:paraId="320C83F0" w14:textId="77777777" w:rsidR="009C6CF6" w:rsidRPr="00DF679C" w:rsidRDefault="009C6CF6" w:rsidP="003442D8">
      <w:pPr>
        <w:spacing w:after="0" w:line="240" w:lineRule="auto"/>
        <w:ind w:right="92"/>
        <w:jc w:val="both"/>
        <w:rPr>
          <w:rFonts w:ascii="Calibri" w:eastAsia="Times New Roman" w:hAnsi="Calibri" w:cs="Times New Roman"/>
          <w:sz w:val="24"/>
          <w:szCs w:val="24"/>
        </w:rPr>
      </w:pPr>
    </w:p>
    <w:p w14:paraId="252E5140" w14:textId="77777777" w:rsidR="00A271D1" w:rsidRPr="00DF679C" w:rsidRDefault="00A271D1" w:rsidP="00A271D1">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sz w:val="24"/>
          <w:szCs w:val="24"/>
        </w:rPr>
        <w:t>Društvo je Ernst &amp; Young savjetovanju d.o.o. djelomično osporilo kvartalna izvješća i pripadajuće račune za upravljanje projektom za period ožujak-svibanj te lipanj-kolovoz 2019. godine zbog neodrađenih, a ugovorenih usluga u ukupnom iznosu od 168.100,25 kn, odnosno 210.125,31 kn s PDV-om. Neosporne (odrađene) usluge upravljanja EU projektom za razdoblje ožujak-kolovoz 2019. godine Društvo je podmirilo u cijelosti, a osporeni računi nisu evidentirani u obvezama društva. Do navedenog je došlo zbog različitog tumačenja odredbi Ugovora.</w:t>
      </w:r>
    </w:p>
    <w:p w14:paraId="7CEFCD87" w14:textId="77777777" w:rsidR="00A271D1" w:rsidRPr="00DF679C" w:rsidRDefault="00A271D1" w:rsidP="00A271D1">
      <w:pPr>
        <w:spacing w:after="0" w:line="240" w:lineRule="auto"/>
        <w:ind w:right="92"/>
        <w:jc w:val="both"/>
        <w:rPr>
          <w:rFonts w:ascii="Calibri" w:eastAsia="Times New Roman" w:hAnsi="Calibri" w:cs="Times New Roman"/>
          <w:sz w:val="24"/>
          <w:szCs w:val="24"/>
        </w:rPr>
      </w:pPr>
    </w:p>
    <w:p w14:paraId="16ACA69C" w14:textId="08688F9E" w:rsidR="00A271D1" w:rsidRPr="00DF679C" w:rsidRDefault="00A271D1" w:rsidP="00A271D1">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sz w:val="24"/>
          <w:szCs w:val="24"/>
        </w:rPr>
        <w:t xml:space="preserve">U ugovoru koji je sklopljen s Ernst &amp; Young savjetovanjem d.o.o. navedeno je da je navedeni krajnji rok završetka usluge (42 mjeseca) indikativan i da ovisi o izvođačima radova te da se očekuje od izvršitelja da poslove u svom zadatku izvrši u cijelosti u ugovorenom iznosu bez obzira na navedeni datum završetka izvršenja usluga.  Društvo je 28. studenog 2019. godine uputilo Ernst &amp; Young savjetovanju d.o.o. obavijest o promjeni (produženju) očekivanog trajanja pružanja usluge upravljanja EU projektom sukladno kojoj je Ernst &amp; Young savjetovanje d.o.o. trebalo prilagoditi i izračun kvartalnog iznosa za sva naredna kvartalna izvješća tj. trebalo je smanjiti kvartalne vrijednost obračuna usluge upravljanja EU projektom. Ernst &amp; Young savjetovanje d.o.o. nije postupilo prema danim uputama pa je Društvo osporilo i </w:t>
      </w:r>
      <w:r w:rsidR="00A64628" w:rsidRPr="00DF679C">
        <w:rPr>
          <w:rFonts w:ascii="Calibri" w:eastAsia="Times New Roman" w:hAnsi="Calibri" w:cs="Times New Roman"/>
          <w:sz w:val="24"/>
          <w:szCs w:val="24"/>
        </w:rPr>
        <w:t xml:space="preserve">sljedeće </w:t>
      </w:r>
      <w:r w:rsidRPr="00DF679C">
        <w:rPr>
          <w:rFonts w:ascii="Calibri" w:eastAsia="Times New Roman" w:hAnsi="Calibri" w:cs="Times New Roman"/>
          <w:sz w:val="24"/>
          <w:szCs w:val="24"/>
        </w:rPr>
        <w:t>kvartaln</w:t>
      </w:r>
      <w:r w:rsidR="00A64628" w:rsidRPr="00DF679C">
        <w:rPr>
          <w:rFonts w:ascii="Calibri" w:eastAsia="Times New Roman" w:hAnsi="Calibri" w:cs="Times New Roman"/>
          <w:sz w:val="24"/>
          <w:szCs w:val="24"/>
        </w:rPr>
        <w:t>e</w:t>
      </w:r>
      <w:r w:rsidRPr="00DF679C">
        <w:rPr>
          <w:rFonts w:ascii="Calibri" w:eastAsia="Times New Roman" w:hAnsi="Calibri" w:cs="Times New Roman"/>
          <w:sz w:val="24"/>
          <w:szCs w:val="24"/>
        </w:rPr>
        <w:t xml:space="preserve"> izvještaj</w:t>
      </w:r>
      <w:r w:rsidR="00A64628" w:rsidRPr="00DF679C">
        <w:rPr>
          <w:rFonts w:ascii="Calibri" w:eastAsia="Times New Roman" w:hAnsi="Calibri" w:cs="Times New Roman"/>
          <w:sz w:val="24"/>
          <w:szCs w:val="24"/>
        </w:rPr>
        <w:t>e</w:t>
      </w:r>
      <w:r w:rsidRPr="00DF679C">
        <w:rPr>
          <w:rFonts w:ascii="Calibri" w:eastAsia="Times New Roman" w:hAnsi="Calibri" w:cs="Times New Roman"/>
          <w:sz w:val="24"/>
          <w:szCs w:val="24"/>
        </w:rPr>
        <w:t xml:space="preserve"> s pripadajućim račun</w:t>
      </w:r>
      <w:r w:rsidR="00A64628" w:rsidRPr="00DF679C">
        <w:rPr>
          <w:rFonts w:ascii="Calibri" w:eastAsia="Times New Roman" w:hAnsi="Calibri" w:cs="Times New Roman"/>
          <w:sz w:val="24"/>
          <w:szCs w:val="24"/>
        </w:rPr>
        <w:t xml:space="preserve">ima u ukupnom iznosu od </w:t>
      </w:r>
      <w:r w:rsidR="00066314" w:rsidRPr="00DF679C">
        <w:rPr>
          <w:rFonts w:ascii="Calibri" w:eastAsia="Times New Roman" w:hAnsi="Calibri" w:cs="Times New Roman"/>
          <w:sz w:val="24"/>
          <w:szCs w:val="24"/>
        </w:rPr>
        <w:t>2.401.432,16</w:t>
      </w:r>
      <w:r w:rsidR="00A64628" w:rsidRPr="00DF679C">
        <w:rPr>
          <w:rFonts w:ascii="Calibri" w:eastAsia="Times New Roman" w:hAnsi="Calibri" w:cs="Times New Roman"/>
          <w:sz w:val="24"/>
          <w:szCs w:val="24"/>
        </w:rPr>
        <w:t xml:space="preserve"> kn</w:t>
      </w:r>
      <w:r w:rsidR="00913C08" w:rsidRPr="00DF679C">
        <w:rPr>
          <w:rFonts w:ascii="Calibri" w:eastAsia="Times New Roman" w:hAnsi="Calibri" w:cs="Times New Roman"/>
          <w:sz w:val="24"/>
          <w:szCs w:val="24"/>
        </w:rPr>
        <w:t xml:space="preserve"> s PDV-om</w:t>
      </w:r>
      <w:r w:rsidR="00A64628" w:rsidRPr="00DF679C">
        <w:rPr>
          <w:rFonts w:ascii="Calibri" w:eastAsia="Times New Roman" w:hAnsi="Calibri" w:cs="Times New Roman"/>
          <w:sz w:val="24"/>
          <w:szCs w:val="24"/>
        </w:rPr>
        <w:t xml:space="preserve"> (</w:t>
      </w:r>
      <w:r w:rsidR="00066314" w:rsidRPr="00DF679C">
        <w:rPr>
          <w:rFonts w:ascii="Calibri" w:eastAsia="Times New Roman" w:hAnsi="Calibri" w:cs="Times New Roman"/>
          <w:sz w:val="24"/>
          <w:szCs w:val="24"/>
        </w:rPr>
        <w:t>četiri</w:t>
      </w:r>
      <w:r w:rsidR="00A64628" w:rsidRPr="00DF679C">
        <w:rPr>
          <w:rFonts w:ascii="Calibri" w:eastAsia="Times New Roman" w:hAnsi="Calibri" w:cs="Times New Roman"/>
          <w:sz w:val="24"/>
          <w:szCs w:val="24"/>
        </w:rPr>
        <w:t xml:space="preserve"> računa za </w:t>
      </w:r>
      <w:r w:rsidR="00066314" w:rsidRPr="00DF679C">
        <w:rPr>
          <w:rFonts w:ascii="Calibri" w:eastAsia="Times New Roman" w:hAnsi="Calibri" w:cs="Times New Roman"/>
          <w:sz w:val="24"/>
          <w:szCs w:val="24"/>
        </w:rPr>
        <w:t>četiri</w:t>
      </w:r>
      <w:r w:rsidR="00A64628" w:rsidRPr="00DF679C">
        <w:rPr>
          <w:rFonts w:ascii="Calibri" w:eastAsia="Times New Roman" w:hAnsi="Calibri" w:cs="Times New Roman"/>
          <w:sz w:val="24"/>
          <w:szCs w:val="24"/>
        </w:rPr>
        <w:t xml:space="preserve"> obračunsk</w:t>
      </w:r>
      <w:r w:rsidR="00066314" w:rsidRPr="00DF679C">
        <w:rPr>
          <w:rFonts w:ascii="Calibri" w:eastAsia="Times New Roman" w:hAnsi="Calibri" w:cs="Times New Roman"/>
          <w:sz w:val="24"/>
          <w:szCs w:val="24"/>
        </w:rPr>
        <w:t>a</w:t>
      </w:r>
      <w:r w:rsidR="00A64628" w:rsidRPr="00DF679C">
        <w:rPr>
          <w:rFonts w:ascii="Calibri" w:eastAsia="Times New Roman" w:hAnsi="Calibri" w:cs="Times New Roman"/>
          <w:sz w:val="24"/>
          <w:szCs w:val="24"/>
        </w:rPr>
        <w:t xml:space="preserve"> tromjesečn</w:t>
      </w:r>
      <w:r w:rsidR="00066314" w:rsidRPr="00DF679C">
        <w:rPr>
          <w:rFonts w:ascii="Calibri" w:eastAsia="Times New Roman" w:hAnsi="Calibri" w:cs="Times New Roman"/>
          <w:sz w:val="24"/>
          <w:szCs w:val="24"/>
        </w:rPr>
        <w:t>a</w:t>
      </w:r>
      <w:r w:rsidR="00A64628" w:rsidRPr="00DF679C">
        <w:rPr>
          <w:rFonts w:ascii="Calibri" w:eastAsia="Times New Roman" w:hAnsi="Calibri" w:cs="Times New Roman"/>
          <w:sz w:val="24"/>
          <w:szCs w:val="24"/>
        </w:rPr>
        <w:t xml:space="preserve"> </w:t>
      </w:r>
      <w:r w:rsidRPr="00DF679C">
        <w:rPr>
          <w:rFonts w:ascii="Calibri" w:eastAsia="Times New Roman" w:hAnsi="Calibri" w:cs="Times New Roman"/>
          <w:sz w:val="24"/>
          <w:szCs w:val="24"/>
        </w:rPr>
        <w:t>razdoblj</w:t>
      </w:r>
      <w:r w:rsidR="00A64628" w:rsidRPr="00DF679C">
        <w:rPr>
          <w:rFonts w:ascii="Calibri" w:eastAsia="Times New Roman" w:hAnsi="Calibri" w:cs="Times New Roman"/>
          <w:sz w:val="24"/>
          <w:szCs w:val="24"/>
        </w:rPr>
        <w:t>a</w:t>
      </w:r>
      <w:r w:rsidRPr="00DF679C">
        <w:rPr>
          <w:rFonts w:ascii="Calibri" w:eastAsia="Times New Roman" w:hAnsi="Calibri" w:cs="Times New Roman"/>
          <w:sz w:val="24"/>
          <w:szCs w:val="24"/>
        </w:rPr>
        <w:t xml:space="preserve"> </w:t>
      </w:r>
      <w:r w:rsidR="00A64628" w:rsidRPr="00DF679C">
        <w:rPr>
          <w:rFonts w:ascii="Calibri" w:eastAsia="Times New Roman" w:hAnsi="Calibri" w:cs="Times New Roman"/>
          <w:sz w:val="24"/>
          <w:szCs w:val="24"/>
        </w:rPr>
        <w:t xml:space="preserve">počevši od </w:t>
      </w:r>
      <w:r w:rsidRPr="00DF679C">
        <w:rPr>
          <w:rFonts w:ascii="Calibri" w:eastAsia="Times New Roman" w:hAnsi="Calibri" w:cs="Times New Roman"/>
          <w:sz w:val="24"/>
          <w:szCs w:val="24"/>
        </w:rPr>
        <w:t>ruj</w:t>
      </w:r>
      <w:r w:rsidR="00A64628" w:rsidRPr="00DF679C">
        <w:rPr>
          <w:rFonts w:ascii="Calibri" w:eastAsia="Times New Roman" w:hAnsi="Calibri" w:cs="Times New Roman"/>
          <w:sz w:val="24"/>
          <w:szCs w:val="24"/>
        </w:rPr>
        <w:t>na</w:t>
      </w:r>
      <w:r w:rsidRPr="00DF679C">
        <w:rPr>
          <w:rFonts w:ascii="Calibri" w:eastAsia="Times New Roman" w:hAnsi="Calibri" w:cs="Times New Roman"/>
          <w:sz w:val="24"/>
          <w:szCs w:val="24"/>
        </w:rPr>
        <w:t xml:space="preserve"> 2019. godine </w:t>
      </w:r>
      <w:r w:rsidR="00A64628" w:rsidRPr="00DF679C">
        <w:rPr>
          <w:rFonts w:ascii="Calibri" w:eastAsia="Times New Roman" w:hAnsi="Calibri" w:cs="Times New Roman"/>
          <w:sz w:val="24"/>
          <w:szCs w:val="24"/>
        </w:rPr>
        <w:t xml:space="preserve">do </w:t>
      </w:r>
      <w:r w:rsidR="00066314" w:rsidRPr="00DF679C">
        <w:rPr>
          <w:rFonts w:ascii="Calibri" w:eastAsia="Times New Roman" w:hAnsi="Calibri" w:cs="Times New Roman"/>
          <w:sz w:val="24"/>
          <w:szCs w:val="24"/>
        </w:rPr>
        <w:t>kolovoza</w:t>
      </w:r>
      <w:r w:rsidR="00A64628" w:rsidRPr="00DF679C">
        <w:rPr>
          <w:rFonts w:ascii="Calibri" w:eastAsia="Times New Roman" w:hAnsi="Calibri" w:cs="Times New Roman"/>
          <w:sz w:val="24"/>
          <w:szCs w:val="24"/>
        </w:rPr>
        <w:t xml:space="preserve"> 2020. godine, svaki </w:t>
      </w:r>
      <w:r w:rsidRPr="00DF679C">
        <w:rPr>
          <w:rFonts w:ascii="Calibri" w:eastAsia="Times New Roman" w:hAnsi="Calibri" w:cs="Times New Roman"/>
          <w:sz w:val="24"/>
          <w:szCs w:val="24"/>
        </w:rPr>
        <w:t>u iznosu od 600.358,04 kn</w:t>
      </w:r>
      <w:r w:rsidR="00A64628" w:rsidRPr="00DF679C">
        <w:rPr>
          <w:rFonts w:ascii="Calibri" w:eastAsia="Times New Roman" w:hAnsi="Calibri" w:cs="Times New Roman"/>
          <w:sz w:val="24"/>
          <w:szCs w:val="24"/>
        </w:rPr>
        <w:t>). Osporeni računi nisu</w:t>
      </w:r>
      <w:r w:rsidRPr="00DF679C">
        <w:rPr>
          <w:rFonts w:ascii="Calibri" w:eastAsia="Times New Roman" w:hAnsi="Calibri" w:cs="Times New Roman"/>
          <w:sz w:val="24"/>
          <w:szCs w:val="24"/>
        </w:rPr>
        <w:t xml:space="preserve"> evidentiran</w:t>
      </w:r>
      <w:r w:rsidR="00A64628" w:rsidRPr="00DF679C">
        <w:rPr>
          <w:rFonts w:ascii="Calibri" w:eastAsia="Times New Roman" w:hAnsi="Calibri" w:cs="Times New Roman"/>
          <w:sz w:val="24"/>
          <w:szCs w:val="24"/>
        </w:rPr>
        <w:t>i</w:t>
      </w:r>
      <w:r w:rsidRPr="00DF679C">
        <w:rPr>
          <w:rFonts w:ascii="Calibri" w:eastAsia="Times New Roman" w:hAnsi="Calibri" w:cs="Times New Roman"/>
          <w:sz w:val="24"/>
          <w:szCs w:val="24"/>
        </w:rPr>
        <w:t xml:space="preserve"> u obvezama društva.</w:t>
      </w:r>
      <w:r w:rsidR="00066314" w:rsidRPr="00DF679C">
        <w:rPr>
          <w:rFonts w:ascii="Calibri" w:eastAsia="Times New Roman" w:hAnsi="Calibri" w:cs="Times New Roman"/>
          <w:sz w:val="24"/>
          <w:szCs w:val="24"/>
        </w:rPr>
        <w:t xml:space="preserve"> </w:t>
      </w:r>
      <w:r w:rsidRPr="00DF679C">
        <w:rPr>
          <w:rFonts w:ascii="Calibri" w:eastAsia="Times New Roman" w:hAnsi="Calibri" w:cs="Times New Roman"/>
          <w:sz w:val="24"/>
          <w:szCs w:val="24"/>
        </w:rPr>
        <w:t>Iz navedenog proizlazi neusuglašenost međusobnih potraživanja i obveza na dan 31. prosinca 20</w:t>
      </w:r>
      <w:r w:rsidR="00A64628" w:rsidRPr="00DF679C">
        <w:rPr>
          <w:rFonts w:ascii="Calibri" w:eastAsia="Times New Roman" w:hAnsi="Calibri" w:cs="Times New Roman"/>
          <w:sz w:val="24"/>
          <w:szCs w:val="24"/>
        </w:rPr>
        <w:t>20</w:t>
      </w:r>
      <w:r w:rsidRPr="00DF679C">
        <w:rPr>
          <w:rFonts w:ascii="Calibri" w:eastAsia="Times New Roman" w:hAnsi="Calibri" w:cs="Times New Roman"/>
          <w:sz w:val="24"/>
          <w:szCs w:val="24"/>
        </w:rPr>
        <w:t xml:space="preserve">. godine za </w:t>
      </w:r>
      <w:r w:rsidR="00066314" w:rsidRPr="00DF679C">
        <w:rPr>
          <w:rFonts w:ascii="Calibri" w:eastAsia="Times New Roman" w:hAnsi="Calibri" w:cs="Times New Roman"/>
          <w:sz w:val="24"/>
          <w:szCs w:val="24"/>
        </w:rPr>
        <w:t>2.611.557,47</w:t>
      </w:r>
      <w:r w:rsidRPr="00DF679C">
        <w:rPr>
          <w:rFonts w:ascii="Calibri" w:eastAsia="Times New Roman" w:hAnsi="Calibri" w:cs="Times New Roman"/>
          <w:sz w:val="24"/>
          <w:szCs w:val="24"/>
        </w:rPr>
        <w:t xml:space="preserve"> kn</w:t>
      </w:r>
      <w:r w:rsidR="00726833">
        <w:rPr>
          <w:rFonts w:ascii="Calibri" w:eastAsia="Times New Roman" w:hAnsi="Calibri" w:cs="Times New Roman"/>
          <w:sz w:val="24"/>
          <w:szCs w:val="24"/>
        </w:rPr>
        <w:t>.</w:t>
      </w:r>
    </w:p>
    <w:p w14:paraId="732F0B18" w14:textId="77777777" w:rsidR="00D37221" w:rsidRDefault="00D37221" w:rsidP="00D37221">
      <w:pPr>
        <w:overflowPunct w:val="0"/>
        <w:autoSpaceDE w:val="0"/>
        <w:autoSpaceDN w:val="0"/>
        <w:spacing w:after="0" w:line="240" w:lineRule="auto"/>
        <w:jc w:val="both"/>
        <w:textAlignment w:val="baseline"/>
        <w:rPr>
          <w:b/>
          <w:bCs/>
          <w:sz w:val="24"/>
          <w:szCs w:val="24"/>
          <w:highlight w:val="darkGray"/>
          <w:lang w:eastAsia="hr-HR"/>
        </w:rPr>
      </w:pPr>
    </w:p>
    <w:p w14:paraId="320CCD31" w14:textId="77777777" w:rsidR="00D37221" w:rsidRPr="001F6422" w:rsidRDefault="00D37221" w:rsidP="00D37221">
      <w:pPr>
        <w:overflowPunct w:val="0"/>
        <w:autoSpaceDE w:val="0"/>
        <w:autoSpaceDN w:val="0"/>
        <w:spacing w:after="0" w:line="240" w:lineRule="auto"/>
        <w:jc w:val="both"/>
        <w:textAlignment w:val="baseline"/>
        <w:rPr>
          <w:sz w:val="24"/>
          <w:szCs w:val="24"/>
          <w:lang w:eastAsia="hr-HR"/>
        </w:rPr>
      </w:pPr>
      <w:r w:rsidRPr="001F6422">
        <w:rPr>
          <w:sz w:val="24"/>
          <w:szCs w:val="24"/>
          <w:lang w:eastAsia="hr-HR"/>
        </w:rPr>
        <w:t xml:space="preserve">Kako bi se riješila sporna situacija, u travnju 2021. godine </w:t>
      </w:r>
      <w:r w:rsidRPr="001F6422">
        <w:rPr>
          <w:sz w:val="24"/>
          <w:szCs w:val="24"/>
        </w:rPr>
        <w:t>Ernst &amp; Young savjetovanje d.o.o. uputilo je prijedlog sporazuma o završetku ugovora o uslugama tehničke podrške upravljanja EU projektom „Projekt prikupljanja, pročišćavanja i odvodnje otpadnih voda na području otoka Krka“ prema kojem bi upravljanje projektom završilo do srpnja 2021. godine, a međusobna  potraživanja i obveze se uskladili. Pregovori su u tijeku (vidi Bilješku 27./ii/).</w:t>
      </w:r>
    </w:p>
    <w:p w14:paraId="302890F1" w14:textId="77777777" w:rsidR="00D37221" w:rsidRDefault="00D37221" w:rsidP="00D37221">
      <w:pPr>
        <w:overflowPunct w:val="0"/>
        <w:autoSpaceDE w:val="0"/>
        <w:autoSpaceDN w:val="0"/>
        <w:spacing w:after="0" w:line="240" w:lineRule="auto"/>
        <w:jc w:val="both"/>
        <w:textAlignment w:val="baseline"/>
        <w:rPr>
          <w:sz w:val="24"/>
          <w:szCs w:val="24"/>
          <w:lang w:eastAsia="hr-HR"/>
        </w:rPr>
      </w:pPr>
    </w:p>
    <w:p w14:paraId="5F6AAE75" w14:textId="77777777" w:rsidR="004641A9" w:rsidRPr="00DF679C" w:rsidRDefault="004641A9" w:rsidP="003442D8">
      <w:pPr>
        <w:spacing w:after="0" w:line="240" w:lineRule="auto"/>
        <w:ind w:right="92"/>
        <w:jc w:val="both"/>
        <w:rPr>
          <w:rFonts w:ascii="Calibri" w:eastAsia="Times New Roman" w:hAnsi="Calibri" w:cs="Times New Roman"/>
          <w:b/>
          <w:bCs/>
          <w:sz w:val="24"/>
          <w:szCs w:val="24"/>
        </w:rPr>
      </w:pPr>
    </w:p>
    <w:p w14:paraId="4E505DD1"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UPRAVLJANJE RIZICIMA</w:t>
      </w:r>
    </w:p>
    <w:p w14:paraId="7C2C0240" w14:textId="77777777" w:rsidR="003442D8" w:rsidRPr="00DF679C" w:rsidRDefault="003442D8" w:rsidP="00E3106E">
      <w:pPr>
        <w:spacing w:after="0" w:line="240" w:lineRule="auto"/>
        <w:ind w:right="-367"/>
        <w:contextualSpacing/>
        <w:jc w:val="both"/>
        <w:rPr>
          <w:rFonts w:ascii="Calibri" w:eastAsia="Times New Roman" w:hAnsi="Calibri" w:cs="Times New Roman"/>
          <w:b/>
          <w:bCs/>
          <w:iCs/>
          <w:sz w:val="24"/>
          <w:szCs w:val="24"/>
        </w:rPr>
      </w:pPr>
    </w:p>
    <w:p w14:paraId="43CAE33C" w14:textId="77777777" w:rsidR="003442D8" w:rsidRPr="00DF679C" w:rsidRDefault="003442D8" w:rsidP="003442D8">
      <w:pPr>
        <w:spacing w:after="0" w:line="240" w:lineRule="auto"/>
        <w:ind w:right="-367"/>
        <w:jc w:val="both"/>
        <w:rPr>
          <w:rFonts w:ascii="Calibri" w:eastAsia="Times New Roman" w:hAnsi="Calibri" w:cs="Times New Roman"/>
          <w:b/>
          <w:bCs/>
          <w:iCs/>
          <w:sz w:val="24"/>
          <w:szCs w:val="24"/>
        </w:rPr>
      </w:pPr>
      <w:bookmarkStart w:id="61" w:name="_Hlk39491438"/>
      <w:r w:rsidRPr="00DF679C">
        <w:rPr>
          <w:rFonts w:ascii="Calibri" w:eastAsia="Times New Roman" w:hAnsi="Calibri" w:cs="Times New Roman"/>
          <w:b/>
          <w:bCs/>
          <w:iCs/>
          <w:sz w:val="24"/>
          <w:szCs w:val="24"/>
        </w:rPr>
        <w:t>VALUTNI RIZIK</w:t>
      </w:r>
    </w:p>
    <w:p w14:paraId="597C47AB" w14:textId="77777777" w:rsidR="003442D8" w:rsidRPr="00A3414A" w:rsidRDefault="003442D8" w:rsidP="003442D8">
      <w:pPr>
        <w:spacing w:after="0" w:line="240" w:lineRule="auto"/>
        <w:ind w:right="-367"/>
        <w:jc w:val="both"/>
        <w:rPr>
          <w:rFonts w:ascii="Calibri" w:eastAsia="Times New Roman" w:hAnsi="Calibri" w:cs="Times New Roman"/>
          <w:b/>
          <w:bCs/>
          <w:iCs/>
          <w:sz w:val="10"/>
          <w:szCs w:val="10"/>
        </w:rPr>
      </w:pPr>
    </w:p>
    <w:p w14:paraId="0FD640EB" w14:textId="77777777" w:rsidR="009E3411" w:rsidRPr="00DF679C" w:rsidRDefault="003442D8" w:rsidP="003442D8">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Valutni rizik je rizik da će se vrijednosti financijskih instrumenata promijeniti uslijed promjene tečaja. Društvo je izloženo promjenama vrijednosti EUR-a, jer </w:t>
      </w:r>
      <w:r w:rsidR="005B13DF" w:rsidRPr="00DF679C">
        <w:rPr>
          <w:rFonts w:ascii="Calibri" w:eastAsia="Times New Roman" w:hAnsi="Calibri" w:cs="Times New Roman"/>
          <w:iCs/>
          <w:sz w:val="24"/>
          <w:szCs w:val="24"/>
        </w:rPr>
        <w:t>je dio</w:t>
      </w:r>
      <w:r w:rsidRPr="00DF679C">
        <w:rPr>
          <w:rFonts w:ascii="Calibri" w:eastAsia="Times New Roman" w:hAnsi="Calibri" w:cs="Times New Roman"/>
          <w:iCs/>
          <w:sz w:val="24"/>
          <w:szCs w:val="24"/>
        </w:rPr>
        <w:t xml:space="preserve"> obvez</w:t>
      </w:r>
      <w:r w:rsidR="005B13DF" w:rsidRPr="00DF679C">
        <w:rPr>
          <w:rFonts w:ascii="Calibri" w:eastAsia="Times New Roman" w:hAnsi="Calibri" w:cs="Times New Roman"/>
          <w:iCs/>
          <w:sz w:val="24"/>
          <w:szCs w:val="24"/>
        </w:rPr>
        <w:t>a</w:t>
      </w:r>
      <w:r w:rsidRPr="00DF679C">
        <w:rPr>
          <w:rFonts w:ascii="Calibri" w:eastAsia="Times New Roman" w:hAnsi="Calibri" w:cs="Times New Roman"/>
          <w:iCs/>
          <w:sz w:val="24"/>
          <w:szCs w:val="24"/>
        </w:rPr>
        <w:t xml:space="preserve"> po dugoročnim kreditima denominiran</w:t>
      </w:r>
      <w:r w:rsidR="005B13DF" w:rsidRPr="00DF679C">
        <w:rPr>
          <w:rFonts w:ascii="Calibri" w:eastAsia="Times New Roman" w:hAnsi="Calibri" w:cs="Times New Roman"/>
          <w:iCs/>
          <w:sz w:val="24"/>
          <w:szCs w:val="24"/>
        </w:rPr>
        <w:t>o</w:t>
      </w:r>
      <w:r w:rsidRPr="00DF679C">
        <w:rPr>
          <w:rFonts w:ascii="Calibri" w:eastAsia="Times New Roman" w:hAnsi="Calibri" w:cs="Times New Roman"/>
          <w:iCs/>
          <w:sz w:val="24"/>
          <w:szCs w:val="24"/>
        </w:rPr>
        <w:t xml:space="preserve"> u stranoj valuti, što Društvo izlaže valutnom riziku. Upravljanje ovim rizikom svodi se na usklađivanje priljeva od naplate potraživanja od </w:t>
      </w:r>
      <w:r w:rsidR="00CC3F2F" w:rsidRPr="00DF679C">
        <w:rPr>
          <w:rFonts w:ascii="Calibri" w:eastAsia="Times New Roman" w:hAnsi="Calibri" w:cs="Times New Roman"/>
          <w:iCs/>
          <w:sz w:val="24"/>
          <w:szCs w:val="24"/>
        </w:rPr>
        <w:t>kupaca</w:t>
      </w:r>
      <w:r w:rsidR="005B13DF" w:rsidRPr="00DF679C">
        <w:rPr>
          <w:rFonts w:ascii="Calibri" w:eastAsia="Times New Roman" w:hAnsi="Calibri" w:cs="Times New Roman"/>
          <w:iCs/>
          <w:sz w:val="24"/>
          <w:szCs w:val="24"/>
        </w:rPr>
        <w:t>.</w:t>
      </w:r>
    </w:p>
    <w:p w14:paraId="5BEC88D6" w14:textId="77777777" w:rsidR="00F750AA" w:rsidRPr="00DF679C" w:rsidRDefault="00F750AA" w:rsidP="003442D8">
      <w:pPr>
        <w:spacing w:after="0" w:line="240" w:lineRule="auto"/>
        <w:ind w:right="22"/>
        <w:jc w:val="both"/>
        <w:rPr>
          <w:rFonts w:ascii="Calibri" w:eastAsia="Times New Roman" w:hAnsi="Calibri" w:cs="Times New Roman"/>
          <w:iCs/>
          <w:sz w:val="24"/>
          <w:szCs w:val="24"/>
        </w:rPr>
      </w:pPr>
    </w:p>
    <w:p w14:paraId="74A9F9EC"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KAMATNI RIZIK</w:t>
      </w:r>
    </w:p>
    <w:p w14:paraId="424E5BF5" w14:textId="77777777" w:rsidR="00A3414A" w:rsidRPr="00A3414A" w:rsidRDefault="00A3414A" w:rsidP="00CC3F2F">
      <w:pPr>
        <w:spacing w:after="0" w:line="240" w:lineRule="auto"/>
        <w:ind w:right="22"/>
        <w:jc w:val="both"/>
        <w:rPr>
          <w:rFonts w:ascii="Calibri" w:eastAsia="Times New Roman" w:hAnsi="Calibri" w:cs="Times New Roman"/>
          <w:iCs/>
          <w:sz w:val="10"/>
          <w:szCs w:val="10"/>
        </w:rPr>
      </w:pPr>
    </w:p>
    <w:p w14:paraId="07D427C3" w14:textId="0AFDB67C" w:rsidR="003442D8" w:rsidRPr="00DF679C" w:rsidRDefault="003442D8" w:rsidP="00CC3F2F">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Kamatni rizik je rizik da će se vrijednosti financijskih instrumenata promijeniti uslijed promjene tržišnih kamatnih stopa u odnosu na kamatne stope primjenjive na financijske instrumente. </w:t>
      </w:r>
      <w:r w:rsidRPr="00DF679C">
        <w:rPr>
          <w:rFonts w:ascii="Calibri" w:eastAsia="Times New Roman" w:hAnsi="Calibri" w:cs="Times New Roman"/>
          <w:iCs/>
          <w:sz w:val="24"/>
          <w:szCs w:val="24"/>
        </w:rPr>
        <w:lastRenderedPageBreak/>
        <w:t xml:space="preserve">Društvo ima dugoročne obveze po </w:t>
      </w:r>
      <w:r w:rsidR="003D3549" w:rsidRPr="00DF679C">
        <w:rPr>
          <w:rFonts w:ascii="Calibri" w:eastAsia="Times New Roman" w:hAnsi="Calibri" w:cs="Times New Roman"/>
          <w:iCs/>
          <w:sz w:val="24"/>
          <w:szCs w:val="24"/>
        </w:rPr>
        <w:t>tri</w:t>
      </w:r>
      <w:r w:rsidR="00E3106E" w:rsidRPr="00DF679C">
        <w:rPr>
          <w:rFonts w:ascii="Calibri" w:eastAsia="Times New Roman" w:hAnsi="Calibri" w:cs="Times New Roman"/>
          <w:iCs/>
          <w:sz w:val="24"/>
          <w:szCs w:val="24"/>
        </w:rPr>
        <w:t xml:space="preserve"> </w:t>
      </w:r>
      <w:r w:rsidRPr="00DF679C">
        <w:rPr>
          <w:rFonts w:ascii="Calibri" w:eastAsia="Times New Roman" w:hAnsi="Calibri" w:cs="Times New Roman"/>
          <w:iCs/>
          <w:sz w:val="24"/>
          <w:szCs w:val="24"/>
        </w:rPr>
        <w:t xml:space="preserve">kredita uz promjenjivu kamatnu stopu, te kao posljedicu toga izloženost riziku promjene kamatne stope. </w:t>
      </w:r>
    </w:p>
    <w:p w14:paraId="7106178A" w14:textId="7FB10AEF" w:rsidR="00CC3F2F" w:rsidRPr="00DF679C" w:rsidRDefault="003442D8" w:rsidP="00CC3F2F">
      <w:pPr>
        <w:spacing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Upravljanje ovim rizikom</w:t>
      </w:r>
      <w:r w:rsidR="009E3411" w:rsidRPr="00DF679C">
        <w:rPr>
          <w:rFonts w:ascii="Calibri" w:eastAsia="Times New Roman" w:hAnsi="Calibri" w:cs="Times New Roman"/>
          <w:iCs/>
          <w:sz w:val="24"/>
          <w:szCs w:val="24"/>
        </w:rPr>
        <w:t>,</w:t>
      </w:r>
      <w:r w:rsidRPr="00DF679C">
        <w:rPr>
          <w:rFonts w:ascii="Calibri" w:eastAsia="Times New Roman" w:hAnsi="Calibri" w:cs="Times New Roman"/>
          <w:iCs/>
          <w:sz w:val="24"/>
          <w:szCs w:val="24"/>
        </w:rPr>
        <w:t xml:space="preserve"> u jednom dijelu svodi se na usklađenje priljeva sredstava </w:t>
      </w:r>
      <w:r w:rsidR="003D3549" w:rsidRPr="00DF679C">
        <w:rPr>
          <w:rFonts w:ascii="Calibri" w:eastAsia="Times New Roman" w:hAnsi="Calibri" w:cs="Times New Roman"/>
          <w:iCs/>
          <w:sz w:val="24"/>
          <w:szCs w:val="24"/>
        </w:rPr>
        <w:t>iz naknade za razvoj</w:t>
      </w:r>
      <w:r w:rsidRPr="00DF679C">
        <w:rPr>
          <w:rFonts w:ascii="Calibri" w:eastAsia="Times New Roman" w:hAnsi="Calibri" w:cs="Times New Roman"/>
          <w:iCs/>
          <w:sz w:val="24"/>
          <w:szCs w:val="24"/>
        </w:rPr>
        <w:t xml:space="preserve"> za podmirenje </w:t>
      </w:r>
      <w:r w:rsidR="009E3411" w:rsidRPr="00DF679C">
        <w:rPr>
          <w:rFonts w:ascii="Calibri" w:eastAsia="Times New Roman" w:hAnsi="Calibri" w:cs="Times New Roman"/>
          <w:iCs/>
          <w:sz w:val="24"/>
          <w:szCs w:val="24"/>
        </w:rPr>
        <w:t xml:space="preserve">obveza po kamatama budući </w:t>
      </w:r>
      <w:r w:rsidR="003D3549" w:rsidRPr="00DF679C">
        <w:rPr>
          <w:rFonts w:ascii="Calibri" w:eastAsia="Times New Roman" w:hAnsi="Calibri" w:cs="Times New Roman"/>
          <w:iCs/>
          <w:sz w:val="24"/>
          <w:szCs w:val="24"/>
        </w:rPr>
        <w:t>se naknada za razvoj namjenski koristi za otplatu tih kredita</w:t>
      </w:r>
      <w:r w:rsidR="00CC3F2F" w:rsidRPr="00DF679C">
        <w:rPr>
          <w:rFonts w:ascii="Calibri" w:eastAsia="Times New Roman" w:hAnsi="Calibri" w:cs="Times New Roman"/>
          <w:iCs/>
          <w:sz w:val="24"/>
          <w:szCs w:val="24"/>
        </w:rPr>
        <w:t>.</w:t>
      </w:r>
    </w:p>
    <w:p w14:paraId="5815E638"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KREDITNI RIZIK</w:t>
      </w:r>
    </w:p>
    <w:p w14:paraId="5B2DC8A9" w14:textId="77777777" w:rsidR="003442D8" w:rsidRPr="00A3414A" w:rsidRDefault="003442D8" w:rsidP="003442D8">
      <w:pPr>
        <w:spacing w:after="0" w:line="240" w:lineRule="auto"/>
        <w:ind w:right="22"/>
        <w:jc w:val="both"/>
        <w:rPr>
          <w:rFonts w:ascii="Calibri" w:eastAsia="Times New Roman" w:hAnsi="Calibri" w:cs="Times New Roman"/>
          <w:iCs/>
          <w:sz w:val="10"/>
          <w:szCs w:val="10"/>
        </w:rPr>
      </w:pPr>
    </w:p>
    <w:p w14:paraId="0677DED4" w14:textId="77777777" w:rsidR="003442D8" w:rsidRPr="00DF679C" w:rsidRDefault="003442D8" w:rsidP="003442D8">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54E037EA" w14:textId="77777777" w:rsidR="00570883" w:rsidRPr="00DF679C" w:rsidRDefault="00570883" w:rsidP="003442D8">
      <w:pPr>
        <w:spacing w:after="0" w:line="240" w:lineRule="auto"/>
        <w:ind w:right="22"/>
        <w:jc w:val="both"/>
        <w:rPr>
          <w:rFonts w:ascii="Calibri" w:eastAsia="Times New Roman" w:hAnsi="Calibri" w:cs="Times New Roman"/>
          <w:b/>
          <w:bCs/>
          <w:iCs/>
          <w:sz w:val="24"/>
          <w:szCs w:val="24"/>
        </w:rPr>
      </w:pPr>
    </w:p>
    <w:p w14:paraId="38CDE194"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RIZIK LIKVIDNOSTI</w:t>
      </w:r>
    </w:p>
    <w:p w14:paraId="4D53AEE0" w14:textId="77777777" w:rsidR="003442D8" w:rsidRPr="00A3414A" w:rsidRDefault="003442D8" w:rsidP="003442D8">
      <w:pPr>
        <w:spacing w:after="0" w:line="240" w:lineRule="auto"/>
        <w:ind w:right="22"/>
        <w:jc w:val="both"/>
        <w:rPr>
          <w:rFonts w:ascii="Calibri" w:eastAsia="Times New Roman" w:hAnsi="Calibri" w:cs="Times New Roman"/>
          <w:iCs/>
          <w:sz w:val="10"/>
          <w:szCs w:val="10"/>
        </w:rPr>
      </w:pPr>
    </w:p>
    <w:p w14:paraId="02B62FB8" w14:textId="77777777" w:rsidR="003D3549" w:rsidRPr="00DF679C" w:rsidRDefault="003442D8" w:rsidP="00246CBE">
      <w:pPr>
        <w:pStyle w:val="BodyText21"/>
        <w:ind w:right="0"/>
        <w:rPr>
          <w:rFonts w:ascii="Calibri" w:hAnsi="Calibri"/>
          <w:i w:val="0"/>
          <w:sz w:val="24"/>
          <w:szCs w:val="24"/>
          <w:lang w:val="hr-HR" w:eastAsia="en-US"/>
        </w:rPr>
      </w:pPr>
      <w:r w:rsidRPr="00DF679C">
        <w:rPr>
          <w:rFonts w:ascii="Calibri" w:hAnsi="Calibri"/>
          <w:i w:val="0"/>
          <w:sz w:val="24"/>
          <w:szCs w:val="24"/>
          <w:lang w:val="hr-HR" w:eastAsia="en-US"/>
        </w:rPr>
        <w:t>Rizik likvidnosti, koji se također naziva rizikom financiranja, je rizik suočavanja Društva s teškoćama u pribavljanju sredstava za podmirenje obveza po financijskim instrumentima.  Kratkoročne obveze</w:t>
      </w:r>
      <w:r w:rsidR="00097693" w:rsidRPr="00DF679C">
        <w:rPr>
          <w:rFonts w:ascii="Calibri" w:hAnsi="Calibri"/>
          <w:i w:val="0"/>
          <w:sz w:val="24"/>
          <w:szCs w:val="24"/>
          <w:lang w:val="hr-HR" w:eastAsia="en-US"/>
        </w:rPr>
        <w:t xml:space="preserve"> Društva koje dospijevaju u 2020</w:t>
      </w:r>
      <w:r w:rsidRPr="00DF679C">
        <w:rPr>
          <w:rFonts w:ascii="Calibri" w:hAnsi="Calibri"/>
          <w:i w:val="0"/>
          <w:sz w:val="24"/>
          <w:szCs w:val="24"/>
          <w:lang w:val="hr-HR" w:eastAsia="en-US"/>
        </w:rPr>
        <w:t>. godini pokrivene su kratko</w:t>
      </w:r>
      <w:r w:rsidR="00097693" w:rsidRPr="00DF679C">
        <w:rPr>
          <w:rFonts w:ascii="Calibri" w:hAnsi="Calibri"/>
          <w:i w:val="0"/>
          <w:sz w:val="24"/>
          <w:szCs w:val="24"/>
          <w:lang w:val="hr-HR" w:eastAsia="en-US"/>
        </w:rPr>
        <w:t>trajnom</w:t>
      </w:r>
      <w:r w:rsidRPr="00DF679C">
        <w:rPr>
          <w:rFonts w:ascii="Calibri" w:hAnsi="Calibri"/>
          <w:i w:val="0"/>
          <w:sz w:val="24"/>
          <w:szCs w:val="24"/>
          <w:lang w:val="hr-HR" w:eastAsia="en-US"/>
        </w:rPr>
        <w:t xml:space="preserve"> imovinom, budući se dijelom podmiruju iz vlastitih sredstava, naknade za razvoj, a dijelom iz sredstava proračuna. </w:t>
      </w:r>
    </w:p>
    <w:p w14:paraId="1E68A57D" w14:textId="58DF9FA3" w:rsidR="00246CBE" w:rsidRPr="00DF679C" w:rsidRDefault="00246CBE" w:rsidP="00246CBE">
      <w:pPr>
        <w:pStyle w:val="BodyText21"/>
        <w:ind w:right="0"/>
        <w:rPr>
          <w:rFonts w:ascii="Calibri" w:hAnsi="Calibri"/>
          <w:i w:val="0"/>
          <w:sz w:val="24"/>
          <w:szCs w:val="24"/>
          <w:lang w:val="hr-HR" w:eastAsia="en-US"/>
        </w:rPr>
      </w:pPr>
      <w:r w:rsidRPr="00A3414A">
        <w:rPr>
          <w:rFonts w:ascii="Calibri" w:hAnsi="Calibri"/>
          <w:i w:val="0"/>
          <w:sz w:val="24"/>
          <w:szCs w:val="24"/>
          <w:lang w:val="hr-HR" w:eastAsia="en-US"/>
        </w:rPr>
        <w:t>Kao što je navedeno u Bilješci 2</w:t>
      </w:r>
      <w:r w:rsidR="005533EE" w:rsidRPr="00A3414A">
        <w:rPr>
          <w:rFonts w:ascii="Calibri" w:hAnsi="Calibri"/>
          <w:i w:val="0"/>
          <w:sz w:val="24"/>
          <w:szCs w:val="24"/>
          <w:lang w:val="hr-HR" w:eastAsia="en-US"/>
        </w:rPr>
        <w:t>8</w:t>
      </w:r>
      <w:r w:rsidRPr="00A3414A">
        <w:rPr>
          <w:rFonts w:ascii="Calibri" w:hAnsi="Calibri"/>
          <w:i w:val="0"/>
          <w:sz w:val="24"/>
          <w:szCs w:val="24"/>
          <w:lang w:val="hr-HR" w:eastAsia="en-US"/>
        </w:rPr>
        <w:t xml:space="preserve">., </w:t>
      </w:r>
      <w:r w:rsidR="003D3549" w:rsidRPr="00A3414A">
        <w:rPr>
          <w:rFonts w:ascii="Calibri" w:hAnsi="Calibri"/>
          <w:i w:val="0"/>
          <w:sz w:val="24"/>
          <w:szCs w:val="24"/>
          <w:lang w:val="hr-HR" w:eastAsia="en-US"/>
        </w:rPr>
        <w:t>pandemija bolesti COVID-19 uzrokovana virusom SARS-CoV-</w:t>
      </w:r>
      <w:r w:rsidR="003D3549" w:rsidRPr="00DF679C">
        <w:rPr>
          <w:rFonts w:ascii="Calibri" w:hAnsi="Calibri"/>
          <w:i w:val="0"/>
          <w:sz w:val="24"/>
          <w:szCs w:val="24"/>
          <w:lang w:val="hr-HR" w:eastAsia="en-US"/>
        </w:rPr>
        <w:t>2 (koronavirus) imat će utjecaj na poslovanje u 2021. godini, kako na smanjenje prihoda tako i na likvidnost</w:t>
      </w:r>
      <w:r w:rsidRPr="00DF679C">
        <w:rPr>
          <w:rFonts w:ascii="Calibri" w:hAnsi="Calibri"/>
          <w:i w:val="0"/>
          <w:sz w:val="24"/>
          <w:szCs w:val="24"/>
          <w:lang w:val="hr-HR" w:eastAsia="en-US"/>
        </w:rPr>
        <w:t>.</w:t>
      </w:r>
    </w:p>
    <w:p w14:paraId="750EB893" w14:textId="77777777" w:rsidR="000C0509" w:rsidRPr="00DF679C" w:rsidRDefault="000C0509" w:rsidP="003442D8">
      <w:pPr>
        <w:tabs>
          <w:tab w:val="left" w:pos="-180"/>
        </w:tabs>
        <w:spacing w:after="0" w:line="240" w:lineRule="auto"/>
        <w:ind w:right="-17"/>
        <w:jc w:val="both"/>
        <w:rPr>
          <w:rFonts w:ascii="Calibri" w:eastAsia="Times New Roman" w:hAnsi="Calibri" w:cs="Times New Roman"/>
          <w:b/>
          <w:bCs/>
          <w:iCs/>
          <w:caps/>
          <w:sz w:val="24"/>
          <w:szCs w:val="24"/>
        </w:rPr>
      </w:pPr>
    </w:p>
    <w:p w14:paraId="5C7E353B" w14:textId="77777777" w:rsidR="003442D8" w:rsidRPr="00DF679C" w:rsidRDefault="003442D8" w:rsidP="003442D8">
      <w:pPr>
        <w:tabs>
          <w:tab w:val="left" w:pos="-180"/>
        </w:tabs>
        <w:spacing w:after="0" w:line="240" w:lineRule="auto"/>
        <w:ind w:right="-17"/>
        <w:jc w:val="both"/>
        <w:rPr>
          <w:rFonts w:ascii="Calibri" w:eastAsia="Times New Roman" w:hAnsi="Calibri" w:cs="Times New Roman"/>
          <w:b/>
          <w:bCs/>
          <w:iCs/>
          <w:caps/>
          <w:sz w:val="24"/>
          <w:szCs w:val="24"/>
        </w:rPr>
      </w:pPr>
      <w:r w:rsidRPr="00DF679C">
        <w:rPr>
          <w:rFonts w:ascii="Calibri" w:eastAsia="Times New Roman" w:hAnsi="Calibri" w:cs="Times New Roman"/>
          <w:b/>
          <w:bCs/>
          <w:iCs/>
          <w:caps/>
          <w:sz w:val="24"/>
          <w:szCs w:val="24"/>
        </w:rPr>
        <w:t>Procjena fer vrijednosti</w:t>
      </w:r>
    </w:p>
    <w:p w14:paraId="70CD01A1" w14:textId="77777777" w:rsidR="003442D8" w:rsidRPr="00A3414A" w:rsidRDefault="003442D8" w:rsidP="003442D8">
      <w:pPr>
        <w:tabs>
          <w:tab w:val="left" w:pos="-180"/>
        </w:tabs>
        <w:spacing w:after="0" w:line="240" w:lineRule="auto"/>
        <w:ind w:right="-17"/>
        <w:jc w:val="both"/>
        <w:rPr>
          <w:rFonts w:ascii="Calibri" w:eastAsia="Times New Roman" w:hAnsi="Calibri" w:cs="Times New Roman"/>
          <w:b/>
          <w:bCs/>
          <w:iCs/>
          <w:caps/>
          <w:sz w:val="10"/>
          <w:szCs w:val="10"/>
        </w:rPr>
      </w:pPr>
    </w:p>
    <w:p w14:paraId="03C47E98" w14:textId="77777777" w:rsidR="003442D8" w:rsidRPr="00DF679C" w:rsidRDefault="003442D8" w:rsidP="003442D8">
      <w:pPr>
        <w:tabs>
          <w:tab w:val="left" w:pos="-180"/>
        </w:tabs>
        <w:spacing w:after="0" w:line="240" w:lineRule="auto"/>
        <w:ind w:right="-17"/>
        <w:jc w:val="both"/>
        <w:rPr>
          <w:rFonts w:ascii="Calibri" w:eastAsia="Times New Roman" w:hAnsi="Calibri" w:cs="Times New Roman"/>
          <w:iCs/>
          <w:sz w:val="24"/>
          <w:szCs w:val="24"/>
        </w:rPr>
      </w:pPr>
      <w:r w:rsidRPr="00DF679C">
        <w:rPr>
          <w:rFonts w:ascii="Calibri" w:eastAsia="Times New Roman" w:hAnsi="Calibri" w:cs="Times New Roman"/>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24393F7F" w14:textId="77777777" w:rsidR="003442D8" w:rsidRPr="00DF679C" w:rsidRDefault="003442D8" w:rsidP="003442D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DF679C">
        <w:rPr>
          <w:rFonts w:ascii="Calibri" w:eastAsia="Times New Roman" w:hAnsi="Calibri" w:cs="Times New Roman"/>
          <w:iCs/>
          <w:sz w:val="24"/>
          <w:szCs w:val="24"/>
          <w:lang w:eastAsia="hr-HR"/>
        </w:rPr>
        <w:t xml:space="preserve">Iskazana knjigovodstvena vrijednost novca i novčanih ekvivalenata približna je njihovoj fer vrijednosti zbog kratkoročnog dospijeća ovih financijskih instrumenata. </w:t>
      </w:r>
    </w:p>
    <w:bookmarkEnd w:id="61"/>
    <w:p w14:paraId="4345C068" w14:textId="77777777" w:rsidR="003442D8" w:rsidRPr="00DF679C" w:rsidRDefault="003442D8" w:rsidP="003442D8">
      <w:pPr>
        <w:spacing w:after="0" w:line="240" w:lineRule="auto"/>
        <w:ind w:right="22"/>
        <w:jc w:val="both"/>
        <w:rPr>
          <w:rFonts w:ascii="Calibri" w:eastAsia="Times New Roman" w:hAnsi="Calibri" w:cs="Times New Roman"/>
          <w:sz w:val="24"/>
          <w:szCs w:val="24"/>
        </w:rPr>
      </w:pPr>
    </w:p>
    <w:p w14:paraId="65F32461" w14:textId="77777777" w:rsidR="003442D8" w:rsidRPr="00DF679C" w:rsidRDefault="003442D8" w:rsidP="003442D8">
      <w:pPr>
        <w:spacing w:after="0" w:line="240" w:lineRule="auto"/>
        <w:ind w:right="22"/>
        <w:jc w:val="both"/>
        <w:rPr>
          <w:rFonts w:ascii="Calibri" w:eastAsia="Times New Roman" w:hAnsi="Calibri" w:cs="Times New Roman"/>
          <w:sz w:val="24"/>
          <w:szCs w:val="24"/>
        </w:rPr>
      </w:pPr>
      <w:bookmarkStart w:id="62" w:name="_Hlk39491496"/>
    </w:p>
    <w:p w14:paraId="3BC78BD5"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DOGAĐAJI NAKON DATUMA BILANCE </w:t>
      </w:r>
    </w:p>
    <w:p w14:paraId="1810B0C2" w14:textId="77777777" w:rsidR="00F750AA" w:rsidRPr="00DF679C" w:rsidRDefault="00F750AA"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6D7A506E" w14:textId="41E66560" w:rsidR="00F750AA" w:rsidRPr="00DF679C" w:rsidRDefault="00F750AA" w:rsidP="00F750AA">
      <w:pPr>
        <w:spacing w:after="0" w:line="240" w:lineRule="auto"/>
        <w:ind w:right="92"/>
        <w:jc w:val="both"/>
        <w:rPr>
          <w:rFonts w:ascii="Calibri" w:eastAsia="Times New Roman" w:hAnsi="Calibri" w:cs="Times New Roman"/>
          <w:b/>
          <w:bCs/>
          <w:sz w:val="24"/>
          <w:szCs w:val="24"/>
        </w:rPr>
      </w:pPr>
      <w:r w:rsidRPr="00DF679C">
        <w:rPr>
          <w:rFonts w:ascii="Calibri" w:eastAsia="Times New Roman" w:hAnsi="Calibri" w:cs="Times New Roman"/>
          <w:b/>
          <w:bCs/>
          <w:sz w:val="24"/>
          <w:szCs w:val="24"/>
        </w:rPr>
        <w:t>/i/</w:t>
      </w:r>
      <w:r w:rsidRPr="00DF679C">
        <w:rPr>
          <w:rFonts w:ascii="Calibri" w:eastAsia="Times New Roman" w:hAnsi="Calibri" w:cs="Times New Roman"/>
          <w:b/>
          <w:bCs/>
          <w:sz w:val="24"/>
          <w:szCs w:val="24"/>
        </w:rPr>
        <w:tab/>
      </w:r>
      <w:r w:rsidR="008F72C9" w:rsidRPr="00DF679C">
        <w:rPr>
          <w:rFonts w:ascii="Calibri" w:eastAsia="Times New Roman" w:hAnsi="Calibri" w:cs="Times New Roman"/>
          <w:b/>
          <w:bCs/>
          <w:sz w:val="24"/>
          <w:szCs w:val="24"/>
        </w:rPr>
        <w:t>Izmjene Društvenog ugovora 17. veljače 2021. godine - prijenos poslovnog udjela i povećanje</w:t>
      </w:r>
      <w:r w:rsidRPr="00DF679C">
        <w:rPr>
          <w:rFonts w:ascii="Calibri" w:eastAsia="Times New Roman" w:hAnsi="Calibri" w:cs="Times New Roman"/>
          <w:b/>
          <w:bCs/>
          <w:sz w:val="24"/>
          <w:szCs w:val="24"/>
        </w:rPr>
        <w:t xml:space="preserve"> temeljn</w:t>
      </w:r>
      <w:r w:rsidR="008F72C9" w:rsidRPr="00DF679C">
        <w:rPr>
          <w:rFonts w:ascii="Calibri" w:eastAsia="Times New Roman" w:hAnsi="Calibri" w:cs="Times New Roman"/>
          <w:b/>
          <w:bCs/>
          <w:sz w:val="24"/>
          <w:szCs w:val="24"/>
        </w:rPr>
        <w:t xml:space="preserve">og </w:t>
      </w:r>
      <w:r w:rsidRPr="00DF679C">
        <w:rPr>
          <w:rFonts w:ascii="Calibri" w:eastAsia="Times New Roman" w:hAnsi="Calibri" w:cs="Times New Roman"/>
          <w:b/>
          <w:bCs/>
          <w:sz w:val="24"/>
          <w:szCs w:val="24"/>
        </w:rPr>
        <w:t>kapital</w:t>
      </w:r>
      <w:r w:rsidR="008F72C9" w:rsidRPr="00DF679C">
        <w:rPr>
          <w:rFonts w:ascii="Calibri" w:eastAsia="Times New Roman" w:hAnsi="Calibri" w:cs="Times New Roman"/>
          <w:b/>
          <w:bCs/>
          <w:sz w:val="24"/>
          <w:szCs w:val="24"/>
        </w:rPr>
        <w:t>a</w:t>
      </w:r>
      <w:r w:rsidRPr="00DF679C">
        <w:rPr>
          <w:rFonts w:ascii="Calibri" w:eastAsia="Times New Roman" w:hAnsi="Calibri" w:cs="Times New Roman"/>
          <w:b/>
          <w:bCs/>
          <w:sz w:val="24"/>
          <w:szCs w:val="24"/>
        </w:rPr>
        <w:t xml:space="preserve"> društva</w:t>
      </w:r>
      <w:r w:rsidR="008F72C9" w:rsidRPr="00DF679C">
        <w:rPr>
          <w:rFonts w:ascii="Calibri" w:eastAsia="Times New Roman" w:hAnsi="Calibri" w:cs="Times New Roman"/>
          <w:b/>
          <w:bCs/>
          <w:sz w:val="24"/>
          <w:szCs w:val="24"/>
        </w:rPr>
        <w:t xml:space="preserve"> </w:t>
      </w:r>
    </w:p>
    <w:p w14:paraId="5B7C02F9" w14:textId="3E7F1E1A" w:rsidR="008F72C9" w:rsidRPr="00DF679C" w:rsidRDefault="008F72C9" w:rsidP="00F750AA">
      <w:pPr>
        <w:spacing w:after="0" w:line="240" w:lineRule="auto"/>
        <w:ind w:right="92"/>
        <w:jc w:val="both"/>
        <w:rPr>
          <w:rFonts w:ascii="Calibri" w:eastAsia="Times New Roman" w:hAnsi="Calibri" w:cs="Times New Roman"/>
          <w:b/>
          <w:bCs/>
          <w:sz w:val="24"/>
          <w:szCs w:val="24"/>
        </w:rPr>
      </w:pPr>
    </w:p>
    <w:p w14:paraId="2DB2A549" w14:textId="0082339E" w:rsidR="00E37BB2" w:rsidRPr="00DF679C" w:rsidRDefault="00E37BB2" w:rsidP="00F750AA">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sz w:val="24"/>
          <w:szCs w:val="24"/>
        </w:rPr>
        <w:t>Rješenjem Trgovačkog suda od 17. veljače 2021. godine proveden</w:t>
      </w:r>
      <w:r w:rsidR="005533EE">
        <w:rPr>
          <w:rFonts w:ascii="Calibri" w:eastAsia="Times New Roman" w:hAnsi="Calibri" w:cs="Times New Roman"/>
          <w:sz w:val="24"/>
          <w:szCs w:val="24"/>
        </w:rPr>
        <w:t>i</w:t>
      </w:r>
      <w:r w:rsidRPr="00DF679C">
        <w:rPr>
          <w:rFonts w:ascii="Calibri" w:eastAsia="Times New Roman" w:hAnsi="Calibri" w:cs="Times New Roman"/>
          <w:sz w:val="24"/>
          <w:szCs w:val="24"/>
        </w:rPr>
        <w:t xml:space="preserve"> su sljedeći upisi:</w:t>
      </w:r>
    </w:p>
    <w:p w14:paraId="1A36B891" w14:textId="77777777" w:rsidR="00E37BB2" w:rsidRPr="00A3414A" w:rsidRDefault="00E37BB2" w:rsidP="00F750AA">
      <w:pPr>
        <w:spacing w:after="0" w:line="240" w:lineRule="auto"/>
        <w:ind w:right="92"/>
        <w:jc w:val="both"/>
        <w:rPr>
          <w:rFonts w:ascii="Calibri" w:eastAsia="Times New Roman" w:hAnsi="Calibri" w:cs="Times New Roman"/>
          <w:sz w:val="10"/>
          <w:szCs w:val="10"/>
        </w:rPr>
      </w:pPr>
    </w:p>
    <w:p w14:paraId="61614615" w14:textId="7B518D01" w:rsidR="008F72C9" w:rsidRPr="00DF679C" w:rsidRDefault="008F72C9" w:rsidP="00F8554F">
      <w:pPr>
        <w:pStyle w:val="ListParagraph"/>
        <w:numPr>
          <w:ilvl w:val="0"/>
          <w:numId w:val="7"/>
        </w:numPr>
        <w:spacing w:after="0" w:line="240" w:lineRule="auto"/>
        <w:ind w:left="284" w:right="92" w:hanging="284"/>
        <w:jc w:val="both"/>
        <w:rPr>
          <w:rFonts w:ascii="Calibri" w:eastAsia="Times New Roman" w:hAnsi="Calibri" w:cs="Times New Roman"/>
          <w:sz w:val="24"/>
          <w:szCs w:val="24"/>
        </w:rPr>
      </w:pPr>
      <w:r w:rsidRPr="00DF679C">
        <w:rPr>
          <w:rFonts w:ascii="Calibri" w:eastAsia="Times New Roman" w:hAnsi="Calibri" w:cs="Times New Roman"/>
          <w:sz w:val="24"/>
          <w:szCs w:val="24"/>
        </w:rPr>
        <w:t>Temeljem Sporazuma o spajanju fekalne kanalizacije naselja Kornić na uređaj za pročišćavanje otpadnih voda naselja Punat od 14. svibnja 2010. godine i Dodatka I Sporazuma od 28. srpnja 2020. godine izvršen je prijenosa poslovnog udjela s Općine Punat na Grad Krk nominalnog iznosa 740.800,00 kn.</w:t>
      </w:r>
    </w:p>
    <w:p w14:paraId="443AA115" w14:textId="4979D15A" w:rsidR="008F72C9" w:rsidRPr="00A3414A" w:rsidRDefault="008F72C9" w:rsidP="00F750AA">
      <w:pPr>
        <w:spacing w:after="0" w:line="240" w:lineRule="auto"/>
        <w:ind w:right="92"/>
        <w:jc w:val="both"/>
        <w:rPr>
          <w:rFonts w:ascii="Calibri" w:eastAsia="Times New Roman" w:hAnsi="Calibri" w:cs="Times New Roman"/>
          <w:sz w:val="10"/>
          <w:szCs w:val="10"/>
        </w:rPr>
      </w:pPr>
      <w:r w:rsidRPr="00A3414A">
        <w:rPr>
          <w:rFonts w:ascii="Calibri" w:eastAsia="Times New Roman" w:hAnsi="Calibri" w:cs="Times New Roman"/>
          <w:sz w:val="10"/>
          <w:szCs w:val="10"/>
        </w:rPr>
        <w:t xml:space="preserve"> </w:t>
      </w:r>
    </w:p>
    <w:p w14:paraId="1B7098F9" w14:textId="5EA3AB63" w:rsidR="008F72C9" w:rsidRPr="00DF679C" w:rsidRDefault="008F72C9" w:rsidP="00F8554F">
      <w:pPr>
        <w:pStyle w:val="ListParagraph"/>
        <w:numPr>
          <w:ilvl w:val="0"/>
          <w:numId w:val="7"/>
        </w:numPr>
        <w:spacing w:after="0" w:line="240" w:lineRule="auto"/>
        <w:ind w:left="284" w:right="92" w:hanging="284"/>
        <w:jc w:val="both"/>
        <w:rPr>
          <w:rFonts w:ascii="Calibri" w:eastAsia="Times New Roman" w:hAnsi="Calibri" w:cs="Times New Roman"/>
          <w:sz w:val="24"/>
          <w:szCs w:val="24"/>
        </w:rPr>
      </w:pPr>
      <w:r w:rsidRPr="00DF679C">
        <w:rPr>
          <w:rFonts w:ascii="Calibri" w:eastAsia="Times New Roman" w:hAnsi="Calibri" w:cs="Times New Roman"/>
          <w:sz w:val="24"/>
          <w:szCs w:val="24"/>
        </w:rPr>
        <w:t>Članovi Društva donijeli su 23. prosinca 2020. godine Odluku o povećanju temeljnog kapitala društva ulaganjem prava.</w:t>
      </w:r>
      <w:r w:rsidR="00E37BB2" w:rsidRPr="00DF679C">
        <w:rPr>
          <w:rFonts w:ascii="Calibri" w:eastAsia="Times New Roman" w:hAnsi="Calibri" w:cs="Times New Roman"/>
          <w:sz w:val="24"/>
          <w:szCs w:val="24"/>
        </w:rPr>
        <w:t xml:space="preserve"> </w:t>
      </w:r>
      <w:r w:rsidRPr="00DF679C">
        <w:rPr>
          <w:rFonts w:ascii="Calibri" w:eastAsia="Times New Roman" w:hAnsi="Calibri" w:cs="Times New Roman"/>
          <w:sz w:val="24"/>
          <w:szCs w:val="24"/>
        </w:rPr>
        <w:t xml:space="preserve">Prava su se unijela temeljem ugovora o ulaganju prava u temeljni kapital Društva od 23. prosinca 2020. godine, sklopljenih između Društva i </w:t>
      </w:r>
      <w:r w:rsidRPr="00DF679C">
        <w:rPr>
          <w:rFonts w:ascii="Calibri" w:eastAsia="Times New Roman" w:hAnsi="Calibri" w:cs="Times New Roman"/>
          <w:sz w:val="24"/>
          <w:szCs w:val="24"/>
        </w:rPr>
        <w:lastRenderedPageBreak/>
        <w:t>postojećih članova društva.</w:t>
      </w:r>
      <w:r w:rsidR="00E37BB2" w:rsidRPr="00DF679C">
        <w:rPr>
          <w:rFonts w:ascii="Calibri" w:eastAsia="Times New Roman" w:hAnsi="Calibri" w:cs="Times New Roman"/>
          <w:sz w:val="24"/>
          <w:szCs w:val="24"/>
        </w:rPr>
        <w:t xml:space="preserve"> </w:t>
      </w:r>
      <w:r w:rsidRPr="00DF679C">
        <w:rPr>
          <w:rFonts w:ascii="Calibri" w:eastAsia="Times New Roman" w:hAnsi="Calibri" w:cs="Times New Roman"/>
          <w:sz w:val="24"/>
          <w:szCs w:val="24"/>
        </w:rPr>
        <w:t xml:space="preserve">Unesena prava </w:t>
      </w:r>
      <w:r w:rsidR="00AF604A" w:rsidRPr="00DF679C">
        <w:rPr>
          <w:rFonts w:ascii="Calibri" w:eastAsia="Times New Roman" w:hAnsi="Calibri" w:cs="Times New Roman"/>
          <w:sz w:val="24"/>
          <w:szCs w:val="24"/>
        </w:rPr>
        <w:t xml:space="preserve">se </w:t>
      </w:r>
      <w:r w:rsidRPr="00DF679C">
        <w:rPr>
          <w:rFonts w:ascii="Calibri" w:eastAsia="Times New Roman" w:hAnsi="Calibri" w:cs="Times New Roman"/>
          <w:sz w:val="24"/>
          <w:szCs w:val="24"/>
        </w:rPr>
        <w:t>odnose na sredstva uplaćena u razdoblju od 1. siječnja 2011. godine do 31. prosinca 2019. godine temeljem ugovora o financiranju izgradnje objekata i uređaja komunalne infrastrukture, sklopljenih između Društva i postojećih članova društva.</w:t>
      </w:r>
      <w:r w:rsidR="00E37BB2" w:rsidRPr="00DF679C">
        <w:rPr>
          <w:rFonts w:ascii="Calibri" w:eastAsia="Times New Roman" w:hAnsi="Calibri" w:cs="Times New Roman"/>
          <w:sz w:val="24"/>
          <w:szCs w:val="24"/>
        </w:rPr>
        <w:t xml:space="preserve"> </w:t>
      </w:r>
      <w:r w:rsidR="00AF604A" w:rsidRPr="00DF679C">
        <w:rPr>
          <w:rFonts w:ascii="Calibri" w:eastAsia="Times New Roman" w:hAnsi="Calibri" w:cs="Times New Roman"/>
          <w:sz w:val="24"/>
          <w:szCs w:val="24"/>
        </w:rPr>
        <w:t xml:space="preserve">Ukupno je doznačeno </w:t>
      </w:r>
      <w:r w:rsidRPr="00DF679C">
        <w:rPr>
          <w:rFonts w:ascii="Calibri" w:eastAsia="Times New Roman" w:hAnsi="Calibri" w:cs="Times New Roman"/>
          <w:sz w:val="24"/>
          <w:szCs w:val="24"/>
        </w:rPr>
        <w:t>56.068.094,53 kn, od čega se temeljni kapital poveća</w:t>
      </w:r>
      <w:r w:rsidR="00AF604A" w:rsidRPr="00DF679C">
        <w:rPr>
          <w:rFonts w:ascii="Calibri" w:eastAsia="Times New Roman" w:hAnsi="Calibri" w:cs="Times New Roman"/>
          <w:sz w:val="24"/>
          <w:szCs w:val="24"/>
        </w:rPr>
        <w:t>o</w:t>
      </w:r>
      <w:r w:rsidRPr="00DF679C">
        <w:rPr>
          <w:rFonts w:ascii="Calibri" w:eastAsia="Times New Roman" w:hAnsi="Calibri" w:cs="Times New Roman"/>
          <w:sz w:val="24"/>
          <w:szCs w:val="24"/>
        </w:rPr>
        <w:t xml:space="preserve"> za iznos od 56.067.800,00 kn, a razlika od 294,53 kn raspoređ</w:t>
      </w:r>
      <w:r w:rsidR="00AF604A" w:rsidRPr="00DF679C">
        <w:rPr>
          <w:rFonts w:ascii="Calibri" w:eastAsia="Times New Roman" w:hAnsi="Calibri" w:cs="Times New Roman"/>
          <w:sz w:val="24"/>
          <w:szCs w:val="24"/>
        </w:rPr>
        <w:t xml:space="preserve">ena je </w:t>
      </w:r>
      <w:r w:rsidRPr="00DF679C">
        <w:rPr>
          <w:rFonts w:ascii="Calibri" w:eastAsia="Times New Roman" w:hAnsi="Calibri" w:cs="Times New Roman"/>
          <w:sz w:val="24"/>
          <w:szCs w:val="24"/>
        </w:rPr>
        <w:t>u kapitalni dobitak.</w:t>
      </w:r>
    </w:p>
    <w:p w14:paraId="086C77A3" w14:textId="77777777" w:rsidR="00F750AA" w:rsidRPr="00A3414A" w:rsidRDefault="00F750AA" w:rsidP="00F750AA">
      <w:pPr>
        <w:spacing w:after="0" w:line="240" w:lineRule="auto"/>
        <w:ind w:right="92"/>
        <w:jc w:val="both"/>
        <w:rPr>
          <w:rFonts w:ascii="Calibri" w:eastAsia="Times New Roman" w:hAnsi="Calibri" w:cs="Times New Roman"/>
          <w:sz w:val="10"/>
          <w:szCs w:val="10"/>
        </w:rPr>
      </w:pPr>
    </w:p>
    <w:tbl>
      <w:tblPr>
        <w:tblW w:w="8887" w:type="dxa"/>
        <w:tblInd w:w="131" w:type="dxa"/>
        <w:tblLook w:val="04A0" w:firstRow="1" w:lastRow="0" w:firstColumn="1" w:lastColumn="0" w:noHBand="0" w:noVBand="1"/>
      </w:tblPr>
      <w:tblGrid>
        <w:gridCol w:w="1689"/>
        <w:gridCol w:w="891"/>
        <w:gridCol w:w="1116"/>
        <w:gridCol w:w="1018"/>
        <w:gridCol w:w="1116"/>
        <w:gridCol w:w="1026"/>
        <w:gridCol w:w="1116"/>
        <w:gridCol w:w="909"/>
        <w:gridCol w:w="6"/>
      </w:tblGrid>
      <w:tr w:rsidR="00A3414A" w:rsidRPr="00DF679C" w14:paraId="5F6EEA86" w14:textId="77777777" w:rsidTr="00A3414A">
        <w:trPr>
          <w:gridAfter w:val="1"/>
          <w:wAfter w:w="6" w:type="dxa"/>
          <w:trHeight w:val="627"/>
        </w:trPr>
        <w:tc>
          <w:tcPr>
            <w:tcW w:w="1689" w:type="dxa"/>
            <w:vMerge w:val="restart"/>
            <w:tcBorders>
              <w:top w:val="double" w:sz="6" w:space="0" w:color="969696"/>
              <w:left w:val="double" w:sz="6" w:space="0" w:color="969696"/>
              <w:bottom w:val="double" w:sz="6" w:space="0" w:color="969696"/>
              <w:right w:val="double" w:sz="6" w:space="0" w:color="969696"/>
            </w:tcBorders>
            <w:shd w:val="clear" w:color="auto" w:fill="auto"/>
            <w:noWrap/>
            <w:vAlign w:val="center"/>
            <w:hideMark/>
          </w:tcPr>
          <w:p w14:paraId="44365C71" w14:textId="47BEA80A"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Član Društva</w:t>
            </w:r>
          </w:p>
        </w:tc>
        <w:tc>
          <w:tcPr>
            <w:tcW w:w="2007" w:type="dxa"/>
            <w:gridSpan w:val="2"/>
            <w:tcBorders>
              <w:top w:val="double" w:sz="6" w:space="0" w:color="969696"/>
              <w:left w:val="double" w:sz="6" w:space="0" w:color="969696"/>
              <w:bottom w:val="single" w:sz="4" w:space="0" w:color="969696"/>
              <w:right w:val="double" w:sz="6" w:space="0" w:color="969696"/>
            </w:tcBorders>
            <w:shd w:val="clear" w:color="auto" w:fill="auto"/>
            <w:vAlign w:val="center"/>
            <w:hideMark/>
          </w:tcPr>
          <w:p w14:paraId="748525A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UPISANI                     TEMELJNI KAPITAL 23.12.2013.</w:t>
            </w:r>
          </w:p>
        </w:tc>
        <w:tc>
          <w:tcPr>
            <w:tcW w:w="1018" w:type="dxa"/>
            <w:vMerge w:val="restart"/>
            <w:tcBorders>
              <w:top w:val="double" w:sz="6" w:space="0" w:color="969696"/>
              <w:left w:val="double" w:sz="6" w:space="0" w:color="969696"/>
              <w:bottom w:val="nil"/>
              <w:right w:val="nil"/>
            </w:tcBorders>
            <w:shd w:val="clear" w:color="auto" w:fill="auto"/>
            <w:vAlign w:val="center"/>
            <w:hideMark/>
          </w:tcPr>
          <w:p w14:paraId="33035AC1" w14:textId="28DC8829"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prijenos poslovnog udjela</w:t>
            </w:r>
          </w:p>
        </w:tc>
        <w:tc>
          <w:tcPr>
            <w:tcW w:w="1116" w:type="dxa"/>
            <w:vMerge w:val="restart"/>
            <w:tcBorders>
              <w:top w:val="double" w:sz="6" w:space="0" w:color="969696"/>
              <w:left w:val="double" w:sz="6" w:space="0" w:color="969696"/>
              <w:right w:val="double" w:sz="6" w:space="0" w:color="969696"/>
            </w:tcBorders>
            <w:shd w:val="clear" w:color="auto" w:fill="auto"/>
            <w:vAlign w:val="center"/>
            <w:hideMark/>
          </w:tcPr>
          <w:p w14:paraId="22BD7029" w14:textId="73D60DA2"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novi udjeli nakon prijenosa poslovnog udjela</w:t>
            </w:r>
          </w:p>
        </w:tc>
        <w:tc>
          <w:tcPr>
            <w:tcW w:w="1026" w:type="dxa"/>
            <w:vMerge w:val="restart"/>
            <w:tcBorders>
              <w:top w:val="double" w:sz="6" w:space="0" w:color="969696"/>
              <w:left w:val="double" w:sz="6" w:space="0" w:color="969696"/>
              <w:right w:val="double" w:sz="6" w:space="0" w:color="969696"/>
            </w:tcBorders>
            <w:shd w:val="clear" w:color="auto" w:fill="auto"/>
            <w:vAlign w:val="center"/>
            <w:hideMark/>
          </w:tcPr>
          <w:p w14:paraId="5884AAC3"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unos prava</w:t>
            </w:r>
          </w:p>
        </w:tc>
        <w:tc>
          <w:tcPr>
            <w:tcW w:w="2025" w:type="dxa"/>
            <w:gridSpan w:val="2"/>
            <w:tcBorders>
              <w:top w:val="double" w:sz="6" w:space="0" w:color="969696"/>
              <w:left w:val="double" w:sz="6" w:space="0" w:color="969696"/>
              <w:bottom w:val="single" w:sz="4" w:space="0" w:color="969696"/>
              <w:right w:val="double" w:sz="6" w:space="0" w:color="969696"/>
            </w:tcBorders>
            <w:shd w:val="clear" w:color="auto" w:fill="auto"/>
            <w:vAlign w:val="center"/>
            <w:hideMark/>
          </w:tcPr>
          <w:p w14:paraId="7497DAD2"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UPISANI TEMELJNI KAPITAL 17.02.2021.</w:t>
            </w:r>
          </w:p>
        </w:tc>
      </w:tr>
      <w:tr w:rsidR="00A3414A" w:rsidRPr="00DF679C" w14:paraId="3953BCAF" w14:textId="77777777" w:rsidTr="000974F3">
        <w:trPr>
          <w:trHeight w:val="232"/>
        </w:trPr>
        <w:tc>
          <w:tcPr>
            <w:tcW w:w="1689" w:type="dxa"/>
            <w:vMerge/>
            <w:tcBorders>
              <w:top w:val="double" w:sz="6" w:space="0" w:color="969696"/>
              <w:left w:val="double" w:sz="6" w:space="0" w:color="969696"/>
              <w:bottom w:val="double" w:sz="6" w:space="0" w:color="969696"/>
              <w:right w:val="double" w:sz="6" w:space="0" w:color="969696"/>
            </w:tcBorders>
            <w:vAlign w:val="center"/>
            <w:hideMark/>
          </w:tcPr>
          <w:p w14:paraId="65F36251" w14:textId="77777777" w:rsidR="00A3414A" w:rsidRPr="00DF679C" w:rsidRDefault="00A3414A" w:rsidP="008F72C9">
            <w:pPr>
              <w:spacing w:after="0" w:line="240" w:lineRule="auto"/>
              <w:rPr>
                <w:rFonts w:ascii="Times New Roman" w:eastAsia="Times New Roman" w:hAnsi="Times New Roman" w:cs="Times New Roman"/>
                <w:b/>
                <w:bCs/>
                <w:sz w:val="18"/>
                <w:szCs w:val="18"/>
                <w:lang w:eastAsia="hr-HR"/>
              </w:rPr>
            </w:pPr>
          </w:p>
        </w:tc>
        <w:tc>
          <w:tcPr>
            <w:tcW w:w="891" w:type="dxa"/>
            <w:tcBorders>
              <w:top w:val="nil"/>
              <w:left w:val="nil"/>
              <w:bottom w:val="nil"/>
              <w:right w:val="single" w:sz="4" w:space="0" w:color="969696"/>
            </w:tcBorders>
            <w:shd w:val="clear" w:color="auto" w:fill="auto"/>
            <w:noWrap/>
            <w:vAlign w:val="center"/>
            <w:hideMark/>
          </w:tcPr>
          <w:p w14:paraId="450FBC6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udio</w:t>
            </w:r>
          </w:p>
        </w:tc>
        <w:tc>
          <w:tcPr>
            <w:tcW w:w="1116" w:type="dxa"/>
            <w:tcBorders>
              <w:top w:val="nil"/>
              <w:left w:val="nil"/>
              <w:bottom w:val="nil"/>
              <w:right w:val="double" w:sz="6" w:space="0" w:color="969696"/>
            </w:tcBorders>
            <w:shd w:val="clear" w:color="auto" w:fill="auto"/>
            <w:noWrap/>
            <w:vAlign w:val="center"/>
            <w:hideMark/>
          </w:tcPr>
          <w:p w14:paraId="07BC9D3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iznos</w:t>
            </w:r>
          </w:p>
        </w:tc>
        <w:tc>
          <w:tcPr>
            <w:tcW w:w="1018" w:type="dxa"/>
            <w:vMerge/>
            <w:tcBorders>
              <w:left w:val="double" w:sz="6" w:space="0" w:color="969696"/>
              <w:bottom w:val="double" w:sz="6" w:space="0" w:color="969696"/>
              <w:right w:val="nil"/>
            </w:tcBorders>
            <w:vAlign w:val="center"/>
            <w:hideMark/>
          </w:tcPr>
          <w:p w14:paraId="69E8AF08" w14:textId="77777777" w:rsidR="00A3414A" w:rsidRPr="00DF679C" w:rsidRDefault="00A3414A" w:rsidP="008F72C9">
            <w:pPr>
              <w:spacing w:after="0" w:line="240" w:lineRule="auto"/>
              <w:rPr>
                <w:rFonts w:ascii="Times New Roman" w:eastAsia="Times New Roman" w:hAnsi="Times New Roman" w:cs="Times New Roman"/>
                <w:b/>
                <w:bCs/>
                <w:sz w:val="18"/>
                <w:szCs w:val="18"/>
                <w:lang w:eastAsia="hr-HR"/>
              </w:rPr>
            </w:pPr>
          </w:p>
        </w:tc>
        <w:tc>
          <w:tcPr>
            <w:tcW w:w="1116" w:type="dxa"/>
            <w:vMerge/>
            <w:tcBorders>
              <w:left w:val="double" w:sz="6" w:space="0" w:color="969696"/>
              <w:bottom w:val="double" w:sz="6" w:space="0" w:color="969696"/>
              <w:right w:val="double" w:sz="6" w:space="0" w:color="969696"/>
            </w:tcBorders>
            <w:vAlign w:val="center"/>
            <w:hideMark/>
          </w:tcPr>
          <w:p w14:paraId="1E8FB481" w14:textId="77777777" w:rsidR="00A3414A" w:rsidRPr="00DF679C" w:rsidRDefault="00A3414A" w:rsidP="008F72C9">
            <w:pPr>
              <w:spacing w:after="0" w:line="240" w:lineRule="auto"/>
              <w:rPr>
                <w:rFonts w:ascii="Times New Roman" w:eastAsia="Times New Roman" w:hAnsi="Times New Roman" w:cs="Times New Roman"/>
                <w:b/>
                <w:bCs/>
                <w:sz w:val="18"/>
                <w:szCs w:val="18"/>
                <w:lang w:eastAsia="hr-HR"/>
              </w:rPr>
            </w:pPr>
          </w:p>
        </w:tc>
        <w:tc>
          <w:tcPr>
            <w:tcW w:w="1026" w:type="dxa"/>
            <w:vMerge/>
            <w:tcBorders>
              <w:left w:val="double" w:sz="6" w:space="0" w:color="969696"/>
              <w:bottom w:val="double" w:sz="6" w:space="0" w:color="969696"/>
              <w:right w:val="double" w:sz="6" w:space="0" w:color="969696"/>
            </w:tcBorders>
            <w:vAlign w:val="center"/>
            <w:hideMark/>
          </w:tcPr>
          <w:p w14:paraId="0A0C703D" w14:textId="77777777" w:rsidR="00A3414A" w:rsidRPr="00DF679C" w:rsidRDefault="00A3414A" w:rsidP="008F72C9">
            <w:pPr>
              <w:spacing w:after="0" w:line="240" w:lineRule="auto"/>
              <w:rPr>
                <w:rFonts w:ascii="Times New Roman" w:eastAsia="Times New Roman" w:hAnsi="Times New Roman" w:cs="Times New Roman"/>
                <w:b/>
                <w:bCs/>
                <w:sz w:val="18"/>
                <w:szCs w:val="18"/>
                <w:lang w:eastAsia="hr-HR"/>
              </w:rPr>
            </w:pPr>
          </w:p>
        </w:tc>
        <w:tc>
          <w:tcPr>
            <w:tcW w:w="1116" w:type="dxa"/>
            <w:tcBorders>
              <w:top w:val="nil"/>
              <w:left w:val="nil"/>
              <w:bottom w:val="nil"/>
              <w:right w:val="single" w:sz="4" w:space="0" w:color="969696"/>
            </w:tcBorders>
            <w:shd w:val="clear" w:color="auto" w:fill="auto"/>
            <w:vAlign w:val="center"/>
            <w:hideMark/>
          </w:tcPr>
          <w:p w14:paraId="1A3A908E" w14:textId="48D13E1F"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iznos</w:t>
            </w:r>
          </w:p>
        </w:tc>
        <w:tc>
          <w:tcPr>
            <w:tcW w:w="915" w:type="dxa"/>
            <w:gridSpan w:val="2"/>
            <w:tcBorders>
              <w:top w:val="nil"/>
              <w:left w:val="nil"/>
              <w:bottom w:val="nil"/>
              <w:right w:val="double" w:sz="6" w:space="0" w:color="969696"/>
            </w:tcBorders>
            <w:shd w:val="clear" w:color="auto" w:fill="auto"/>
            <w:noWrap/>
            <w:vAlign w:val="center"/>
            <w:hideMark/>
          </w:tcPr>
          <w:p w14:paraId="53C85A7F"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udio</w:t>
            </w:r>
          </w:p>
        </w:tc>
      </w:tr>
      <w:tr w:rsidR="00A3414A" w:rsidRPr="00DF679C" w14:paraId="2526FCA5" w14:textId="77777777" w:rsidTr="00A3414A">
        <w:trPr>
          <w:trHeight w:val="286"/>
        </w:trPr>
        <w:tc>
          <w:tcPr>
            <w:tcW w:w="1689" w:type="dxa"/>
            <w:tcBorders>
              <w:top w:val="nil"/>
              <w:left w:val="double" w:sz="6" w:space="0" w:color="969696"/>
              <w:bottom w:val="double" w:sz="6" w:space="0" w:color="969696"/>
              <w:right w:val="nil"/>
            </w:tcBorders>
            <w:shd w:val="clear" w:color="auto" w:fill="auto"/>
            <w:noWrap/>
            <w:vAlign w:val="center"/>
            <w:hideMark/>
          </w:tcPr>
          <w:p w14:paraId="5C7A54C6"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0</w:t>
            </w:r>
          </w:p>
        </w:tc>
        <w:tc>
          <w:tcPr>
            <w:tcW w:w="891" w:type="dxa"/>
            <w:tcBorders>
              <w:top w:val="double" w:sz="6" w:space="0" w:color="969696"/>
              <w:left w:val="double" w:sz="6" w:space="0" w:color="969696"/>
              <w:bottom w:val="double" w:sz="6" w:space="0" w:color="969696"/>
              <w:right w:val="single" w:sz="4" w:space="0" w:color="969696"/>
            </w:tcBorders>
            <w:shd w:val="clear" w:color="auto" w:fill="auto"/>
            <w:noWrap/>
            <w:vAlign w:val="center"/>
            <w:hideMark/>
          </w:tcPr>
          <w:p w14:paraId="5C13098B"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1</w:t>
            </w:r>
          </w:p>
        </w:tc>
        <w:tc>
          <w:tcPr>
            <w:tcW w:w="1116" w:type="dxa"/>
            <w:tcBorders>
              <w:top w:val="double" w:sz="6" w:space="0" w:color="969696"/>
              <w:left w:val="nil"/>
              <w:bottom w:val="double" w:sz="6" w:space="0" w:color="969696"/>
              <w:right w:val="double" w:sz="6" w:space="0" w:color="969696"/>
            </w:tcBorders>
            <w:shd w:val="clear" w:color="auto" w:fill="auto"/>
            <w:noWrap/>
            <w:vAlign w:val="center"/>
            <w:hideMark/>
          </w:tcPr>
          <w:p w14:paraId="6161FCA0"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2</w:t>
            </w:r>
          </w:p>
        </w:tc>
        <w:tc>
          <w:tcPr>
            <w:tcW w:w="1018" w:type="dxa"/>
            <w:tcBorders>
              <w:top w:val="nil"/>
              <w:left w:val="nil"/>
              <w:bottom w:val="double" w:sz="6" w:space="0" w:color="969696"/>
              <w:right w:val="nil"/>
            </w:tcBorders>
            <w:shd w:val="clear" w:color="auto" w:fill="auto"/>
            <w:noWrap/>
            <w:vAlign w:val="center"/>
            <w:hideMark/>
          </w:tcPr>
          <w:p w14:paraId="07256BE2"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3</w:t>
            </w:r>
          </w:p>
        </w:tc>
        <w:tc>
          <w:tcPr>
            <w:tcW w:w="1116" w:type="dxa"/>
            <w:tcBorders>
              <w:top w:val="nil"/>
              <w:left w:val="double" w:sz="6" w:space="0" w:color="969696"/>
              <w:bottom w:val="double" w:sz="6" w:space="0" w:color="969696"/>
              <w:right w:val="nil"/>
            </w:tcBorders>
            <w:shd w:val="clear" w:color="auto" w:fill="auto"/>
            <w:noWrap/>
            <w:vAlign w:val="center"/>
            <w:hideMark/>
          </w:tcPr>
          <w:p w14:paraId="41A863D7"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4=2+3</w:t>
            </w:r>
          </w:p>
        </w:tc>
        <w:tc>
          <w:tcPr>
            <w:tcW w:w="1026" w:type="dxa"/>
            <w:tcBorders>
              <w:top w:val="nil"/>
              <w:left w:val="double" w:sz="6" w:space="0" w:color="969696"/>
              <w:bottom w:val="double" w:sz="6" w:space="0" w:color="969696"/>
              <w:right w:val="double" w:sz="6" w:space="0" w:color="969696"/>
            </w:tcBorders>
            <w:shd w:val="clear" w:color="auto" w:fill="auto"/>
            <w:noWrap/>
            <w:vAlign w:val="center"/>
            <w:hideMark/>
          </w:tcPr>
          <w:p w14:paraId="740B056C"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5</w:t>
            </w:r>
          </w:p>
        </w:tc>
        <w:tc>
          <w:tcPr>
            <w:tcW w:w="1116" w:type="dxa"/>
            <w:tcBorders>
              <w:top w:val="double" w:sz="6" w:space="0" w:color="969696"/>
              <w:left w:val="nil"/>
              <w:bottom w:val="double" w:sz="6" w:space="0" w:color="969696"/>
              <w:right w:val="single" w:sz="4" w:space="0" w:color="969696"/>
            </w:tcBorders>
            <w:shd w:val="clear" w:color="auto" w:fill="auto"/>
            <w:noWrap/>
            <w:vAlign w:val="center"/>
            <w:hideMark/>
          </w:tcPr>
          <w:p w14:paraId="65DBE3AA"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6=4+5</w:t>
            </w:r>
          </w:p>
        </w:tc>
        <w:tc>
          <w:tcPr>
            <w:tcW w:w="915" w:type="dxa"/>
            <w:gridSpan w:val="2"/>
            <w:tcBorders>
              <w:top w:val="double" w:sz="6" w:space="0" w:color="969696"/>
              <w:left w:val="nil"/>
              <w:bottom w:val="double" w:sz="6" w:space="0" w:color="969696"/>
              <w:right w:val="double" w:sz="6" w:space="0" w:color="969696"/>
            </w:tcBorders>
            <w:shd w:val="clear" w:color="auto" w:fill="auto"/>
            <w:noWrap/>
            <w:vAlign w:val="center"/>
            <w:hideMark/>
          </w:tcPr>
          <w:p w14:paraId="3FB9CC19" w14:textId="77777777" w:rsidR="00A3414A" w:rsidRPr="00DF679C" w:rsidRDefault="00A3414A" w:rsidP="008F72C9">
            <w:pPr>
              <w:spacing w:after="0" w:line="240" w:lineRule="auto"/>
              <w:jc w:val="center"/>
              <w:rPr>
                <w:rFonts w:ascii="Times New Roman" w:eastAsia="Times New Roman" w:hAnsi="Times New Roman" w:cs="Times New Roman"/>
                <w:sz w:val="18"/>
                <w:szCs w:val="18"/>
                <w:lang w:eastAsia="hr-HR"/>
              </w:rPr>
            </w:pPr>
            <w:r w:rsidRPr="00DF679C">
              <w:rPr>
                <w:rFonts w:ascii="Times New Roman" w:eastAsia="Times New Roman" w:hAnsi="Times New Roman" w:cs="Times New Roman"/>
                <w:sz w:val="18"/>
                <w:szCs w:val="18"/>
                <w:lang w:eastAsia="hr-HR"/>
              </w:rPr>
              <w:t>7</w:t>
            </w:r>
          </w:p>
        </w:tc>
      </w:tr>
      <w:tr w:rsidR="00A3414A" w:rsidRPr="00DF679C" w14:paraId="19B63277" w14:textId="77777777" w:rsidTr="00A3414A">
        <w:trPr>
          <w:trHeight w:val="350"/>
        </w:trPr>
        <w:tc>
          <w:tcPr>
            <w:tcW w:w="1689" w:type="dxa"/>
            <w:tcBorders>
              <w:top w:val="nil"/>
              <w:left w:val="double" w:sz="6" w:space="0" w:color="969696"/>
              <w:bottom w:val="dotted" w:sz="4" w:space="0" w:color="969696"/>
              <w:right w:val="nil"/>
            </w:tcBorders>
            <w:shd w:val="clear" w:color="auto" w:fill="auto"/>
            <w:noWrap/>
            <w:vAlign w:val="center"/>
            <w:hideMark/>
          </w:tcPr>
          <w:p w14:paraId="63B717FC" w14:textId="31A13820"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Općina Omišalj</w:t>
            </w:r>
          </w:p>
        </w:tc>
        <w:tc>
          <w:tcPr>
            <w:tcW w:w="891" w:type="dxa"/>
            <w:tcBorders>
              <w:top w:val="nil"/>
              <w:left w:val="double" w:sz="6" w:space="0" w:color="969696"/>
              <w:bottom w:val="dotted" w:sz="4" w:space="0" w:color="969696"/>
              <w:right w:val="single" w:sz="4" w:space="0" w:color="969696"/>
            </w:tcBorders>
            <w:shd w:val="clear" w:color="auto" w:fill="auto"/>
            <w:noWrap/>
            <w:vAlign w:val="center"/>
            <w:hideMark/>
          </w:tcPr>
          <w:p w14:paraId="02201AC8"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16,09%</w:t>
            </w:r>
          </w:p>
        </w:tc>
        <w:tc>
          <w:tcPr>
            <w:tcW w:w="1116" w:type="dxa"/>
            <w:tcBorders>
              <w:top w:val="nil"/>
              <w:left w:val="nil"/>
              <w:bottom w:val="dotted" w:sz="4" w:space="0" w:color="969696"/>
              <w:right w:val="double" w:sz="6" w:space="0" w:color="969696"/>
            </w:tcBorders>
            <w:shd w:val="clear" w:color="auto" w:fill="auto"/>
            <w:noWrap/>
            <w:vAlign w:val="center"/>
            <w:hideMark/>
          </w:tcPr>
          <w:p w14:paraId="24B02447"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51.865.900</w:t>
            </w:r>
          </w:p>
        </w:tc>
        <w:tc>
          <w:tcPr>
            <w:tcW w:w="1018" w:type="dxa"/>
            <w:tcBorders>
              <w:top w:val="nil"/>
              <w:left w:val="nil"/>
              <w:bottom w:val="dotted" w:sz="4" w:space="0" w:color="969696"/>
              <w:right w:val="nil"/>
            </w:tcBorders>
            <w:shd w:val="clear" w:color="auto" w:fill="auto"/>
            <w:noWrap/>
            <w:vAlign w:val="center"/>
            <w:hideMark/>
          </w:tcPr>
          <w:p w14:paraId="146C856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 </w:t>
            </w:r>
          </w:p>
        </w:tc>
        <w:tc>
          <w:tcPr>
            <w:tcW w:w="1116" w:type="dxa"/>
            <w:tcBorders>
              <w:top w:val="nil"/>
              <w:left w:val="double" w:sz="6" w:space="0" w:color="969696"/>
              <w:bottom w:val="dotted" w:sz="4" w:space="0" w:color="969696"/>
              <w:right w:val="nil"/>
            </w:tcBorders>
            <w:shd w:val="clear" w:color="auto" w:fill="auto"/>
            <w:noWrap/>
            <w:vAlign w:val="center"/>
            <w:hideMark/>
          </w:tcPr>
          <w:p w14:paraId="2247519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51.865.900</w:t>
            </w:r>
          </w:p>
        </w:tc>
        <w:tc>
          <w:tcPr>
            <w:tcW w:w="1026" w:type="dxa"/>
            <w:tcBorders>
              <w:top w:val="nil"/>
              <w:left w:val="double" w:sz="6" w:space="0" w:color="969696"/>
              <w:bottom w:val="dotted" w:sz="4" w:space="0" w:color="969696"/>
              <w:right w:val="double" w:sz="6" w:space="0" w:color="969696"/>
            </w:tcBorders>
            <w:shd w:val="clear" w:color="auto" w:fill="auto"/>
            <w:noWrap/>
            <w:vAlign w:val="center"/>
            <w:hideMark/>
          </w:tcPr>
          <w:p w14:paraId="25128B31"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3.332.100</w:t>
            </w:r>
          </w:p>
        </w:tc>
        <w:tc>
          <w:tcPr>
            <w:tcW w:w="1116" w:type="dxa"/>
            <w:tcBorders>
              <w:top w:val="nil"/>
              <w:left w:val="nil"/>
              <w:bottom w:val="dotted" w:sz="4" w:space="0" w:color="969696"/>
              <w:right w:val="single" w:sz="4" w:space="0" w:color="969696"/>
            </w:tcBorders>
            <w:shd w:val="clear" w:color="auto" w:fill="auto"/>
            <w:noWrap/>
            <w:vAlign w:val="center"/>
            <w:hideMark/>
          </w:tcPr>
          <w:p w14:paraId="53728F25"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55.198.000</w:t>
            </w:r>
          </w:p>
        </w:tc>
        <w:tc>
          <w:tcPr>
            <w:tcW w:w="915" w:type="dxa"/>
            <w:gridSpan w:val="2"/>
            <w:tcBorders>
              <w:top w:val="nil"/>
              <w:left w:val="nil"/>
              <w:bottom w:val="dotted" w:sz="4" w:space="0" w:color="969696"/>
              <w:right w:val="double" w:sz="6" w:space="0" w:color="969696"/>
            </w:tcBorders>
            <w:shd w:val="clear" w:color="auto" w:fill="auto"/>
            <w:noWrap/>
            <w:vAlign w:val="center"/>
            <w:hideMark/>
          </w:tcPr>
          <w:p w14:paraId="6CEA6F0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14,59%</w:t>
            </w:r>
          </w:p>
        </w:tc>
      </w:tr>
      <w:tr w:rsidR="00A3414A" w:rsidRPr="00DF679C" w14:paraId="6A920361" w14:textId="77777777" w:rsidTr="00A3414A">
        <w:trPr>
          <w:trHeight w:val="418"/>
        </w:trPr>
        <w:tc>
          <w:tcPr>
            <w:tcW w:w="1689" w:type="dxa"/>
            <w:tcBorders>
              <w:top w:val="nil"/>
              <w:left w:val="double" w:sz="6" w:space="0" w:color="969696"/>
              <w:bottom w:val="dotted" w:sz="4" w:space="0" w:color="969696"/>
              <w:right w:val="nil"/>
            </w:tcBorders>
            <w:shd w:val="clear" w:color="auto" w:fill="auto"/>
            <w:vAlign w:val="center"/>
            <w:hideMark/>
          </w:tcPr>
          <w:p w14:paraId="7DBACD4D" w14:textId="66807D51"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Općina Malinska-Dubašnica</w:t>
            </w:r>
          </w:p>
        </w:tc>
        <w:tc>
          <w:tcPr>
            <w:tcW w:w="891" w:type="dxa"/>
            <w:tcBorders>
              <w:top w:val="nil"/>
              <w:left w:val="double" w:sz="6" w:space="0" w:color="969696"/>
              <w:bottom w:val="dotted" w:sz="4" w:space="0" w:color="969696"/>
              <w:right w:val="single" w:sz="4" w:space="0" w:color="969696"/>
            </w:tcBorders>
            <w:shd w:val="clear" w:color="auto" w:fill="auto"/>
            <w:noWrap/>
            <w:vAlign w:val="center"/>
            <w:hideMark/>
          </w:tcPr>
          <w:p w14:paraId="02630D85"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17,81%</w:t>
            </w:r>
          </w:p>
        </w:tc>
        <w:tc>
          <w:tcPr>
            <w:tcW w:w="1116" w:type="dxa"/>
            <w:tcBorders>
              <w:top w:val="nil"/>
              <w:left w:val="nil"/>
              <w:bottom w:val="dotted" w:sz="4" w:space="0" w:color="969696"/>
              <w:right w:val="double" w:sz="6" w:space="0" w:color="969696"/>
            </w:tcBorders>
            <w:shd w:val="clear" w:color="auto" w:fill="auto"/>
            <w:noWrap/>
            <w:vAlign w:val="center"/>
            <w:hideMark/>
          </w:tcPr>
          <w:p w14:paraId="2D0A554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57.424.000</w:t>
            </w:r>
          </w:p>
        </w:tc>
        <w:tc>
          <w:tcPr>
            <w:tcW w:w="1018" w:type="dxa"/>
            <w:tcBorders>
              <w:top w:val="nil"/>
              <w:left w:val="nil"/>
              <w:bottom w:val="dotted" w:sz="4" w:space="0" w:color="969696"/>
              <w:right w:val="nil"/>
            </w:tcBorders>
            <w:shd w:val="clear" w:color="auto" w:fill="auto"/>
            <w:noWrap/>
            <w:vAlign w:val="center"/>
            <w:hideMark/>
          </w:tcPr>
          <w:p w14:paraId="007538FF"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 </w:t>
            </w:r>
          </w:p>
        </w:tc>
        <w:tc>
          <w:tcPr>
            <w:tcW w:w="1116" w:type="dxa"/>
            <w:tcBorders>
              <w:top w:val="nil"/>
              <w:left w:val="double" w:sz="6" w:space="0" w:color="969696"/>
              <w:bottom w:val="dotted" w:sz="4" w:space="0" w:color="969696"/>
              <w:right w:val="nil"/>
            </w:tcBorders>
            <w:shd w:val="clear" w:color="auto" w:fill="auto"/>
            <w:noWrap/>
            <w:vAlign w:val="center"/>
            <w:hideMark/>
          </w:tcPr>
          <w:p w14:paraId="2C18305B"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57.424.000</w:t>
            </w:r>
          </w:p>
        </w:tc>
        <w:tc>
          <w:tcPr>
            <w:tcW w:w="1026" w:type="dxa"/>
            <w:tcBorders>
              <w:top w:val="nil"/>
              <w:left w:val="double" w:sz="6" w:space="0" w:color="969696"/>
              <w:bottom w:val="dotted" w:sz="4" w:space="0" w:color="969696"/>
              <w:right w:val="double" w:sz="6" w:space="0" w:color="969696"/>
            </w:tcBorders>
            <w:shd w:val="clear" w:color="auto" w:fill="auto"/>
            <w:noWrap/>
            <w:vAlign w:val="center"/>
            <w:hideMark/>
          </w:tcPr>
          <w:p w14:paraId="3703E2D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7.599.500</w:t>
            </w:r>
          </w:p>
        </w:tc>
        <w:tc>
          <w:tcPr>
            <w:tcW w:w="1116" w:type="dxa"/>
            <w:tcBorders>
              <w:top w:val="nil"/>
              <w:left w:val="nil"/>
              <w:bottom w:val="dotted" w:sz="4" w:space="0" w:color="969696"/>
              <w:right w:val="single" w:sz="4" w:space="0" w:color="969696"/>
            </w:tcBorders>
            <w:shd w:val="clear" w:color="auto" w:fill="auto"/>
            <w:noWrap/>
            <w:vAlign w:val="center"/>
            <w:hideMark/>
          </w:tcPr>
          <w:p w14:paraId="2B22E20F"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65.023.500</w:t>
            </w:r>
          </w:p>
        </w:tc>
        <w:tc>
          <w:tcPr>
            <w:tcW w:w="915" w:type="dxa"/>
            <w:gridSpan w:val="2"/>
            <w:tcBorders>
              <w:top w:val="nil"/>
              <w:left w:val="nil"/>
              <w:bottom w:val="dotted" w:sz="4" w:space="0" w:color="969696"/>
              <w:right w:val="double" w:sz="6" w:space="0" w:color="969696"/>
            </w:tcBorders>
            <w:shd w:val="clear" w:color="auto" w:fill="auto"/>
            <w:noWrap/>
            <w:vAlign w:val="center"/>
            <w:hideMark/>
          </w:tcPr>
          <w:p w14:paraId="74472A38"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17,18%</w:t>
            </w:r>
          </w:p>
        </w:tc>
      </w:tr>
      <w:tr w:rsidR="00A3414A" w:rsidRPr="00DF679C" w14:paraId="1AA4CAA1" w14:textId="77777777" w:rsidTr="00A3414A">
        <w:trPr>
          <w:trHeight w:val="269"/>
        </w:trPr>
        <w:tc>
          <w:tcPr>
            <w:tcW w:w="1689" w:type="dxa"/>
            <w:tcBorders>
              <w:top w:val="nil"/>
              <w:left w:val="double" w:sz="6" w:space="0" w:color="969696"/>
              <w:bottom w:val="dotted" w:sz="4" w:space="0" w:color="969696"/>
              <w:right w:val="nil"/>
            </w:tcBorders>
            <w:shd w:val="clear" w:color="auto" w:fill="auto"/>
            <w:noWrap/>
            <w:vAlign w:val="center"/>
            <w:hideMark/>
          </w:tcPr>
          <w:p w14:paraId="7E98925A" w14:textId="701F19BC"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Grad Krk</w:t>
            </w:r>
          </w:p>
        </w:tc>
        <w:tc>
          <w:tcPr>
            <w:tcW w:w="891" w:type="dxa"/>
            <w:tcBorders>
              <w:top w:val="nil"/>
              <w:left w:val="double" w:sz="6" w:space="0" w:color="969696"/>
              <w:bottom w:val="dotted" w:sz="4" w:space="0" w:color="969696"/>
              <w:right w:val="single" w:sz="4" w:space="0" w:color="969696"/>
            </w:tcBorders>
            <w:shd w:val="clear" w:color="auto" w:fill="auto"/>
            <w:noWrap/>
            <w:vAlign w:val="center"/>
            <w:hideMark/>
          </w:tcPr>
          <w:p w14:paraId="3E337909"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23,36%</w:t>
            </w:r>
          </w:p>
        </w:tc>
        <w:tc>
          <w:tcPr>
            <w:tcW w:w="1116" w:type="dxa"/>
            <w:tcBorders>
              <w:top w:val="nil"/>
              <w:left w:val="nil"/>
              <w:bottom w:val="dotted" w:sz="4" w:space="0" w:color="969696"/>
              <w:right w:val="double" w:sz="6" w:space="0" w:color="969696"/>
            </w:tcBorders>
            <w:shd w:val="clear" w:color="auto" w:fill="auto"/>
            <w:noWrap/>
            <w:vAlign w:val="center"/>
            <w:hideMark/>
          </w:tcPr>
          <w:p w14:paraId="57B72F4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75.311.100</w:t>
            </w:r>
          </w:p>
        </w:tc>
        <w:tc>
          <w:tcPr>
            <w:tcW w:w="1018" w:type="dxa"/>
            <w:tcBorders>
              <w:top w:val="nil"/>
              <w:left w:val="nil"/>
              <w:bottom w:val="dotted" w:sz="4" w:space="0" w:color="969696"/>
              <w:right w:val="nil"/>
            </w:tcBorders>
            <w:shd w:val="clear" w:color="auto" w:fill="auto"/>
            <w:noWrap/>
            <w:vAlign w:val="center"/>
            <w:hideMark/>
          </w:tcPr>
          <w:p w14:paraId="299E7F6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740.800</w:t>
            </w:r>
          </w:p>
        </w:tc>
        <w:tc>
          <w:tcPr>
            <w:tcW w:w="1116" w:type="dxa"/>
            <w:tcBorders>
              <w:top w:val="nil"/>
              <w:left w:val="double" w:sz="6" w:space="0" w:color="969696"/>
              <w:bottom w:val="dotted" w:sz="4" w:space="0" w:color="969696"/>
              <w:right w:val="nil"/>
            </w:tcBorders>
            <w:shd w:val="clear" w:color="auto" w:fill="auto"/>
            <w:noWrap/>
            <w:vAlign w:val="center"/>
            <w:hideMark/>
          </w:tcPr>
          <w:p w14:paraId="408B6C5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76.051.900</w:t>
            </w:r>
          </w:p>
        </w:tc>
        <w:tc>
          <w:tcPr>
            <w:tcW w:w="1026" w:type="dxa"/>
            <w:tcBorders>
              <w:top w:val="nil"/>
              <w:left w:val="double" w:sz="6" w:space="0" w:color="969696"/>
              <w:bottom w:val="dotted" w:sz="4" w:space="0" w:color="969696"/>
              <w:right w:val="double" w:sz="6" w:space="0" w:color="969696"/>
            </w:tcBorders>
            <w:shd w:val="clear" w:color="auto" w:fill="auto"/>
            <w:noWrap/>
            <w:vAlign w:val="center"/>
            <w:hideMark/>
          </w:tcPr>
          <w:p w14:paraId="3FC8F79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18.416.500</w:t>
            </w:r>
          </w:p>
        </w:tc>
        <w:tc>
          <w:tcPr>
            <w:tcW w:w="1116" w:type="dxa"/>
            <w:tcBorders>
              <w:top w:val="nil"/>
              <w:left w:val="nil"/>
              <w:bottom w:val="dotted" w:sz="4" w:space="0" w:color="969696"/>
              <w:right w:val="single" w:sz="4" w:space="0" w:color="969696"/>
            </w:tcBorders>
            <w:shd w:val="clear" w:color="auto" w:fill="auto"/>
            <w:noWrap/>
            <w:vAlign w:val="center"/>
            <w:hideMark/>
          </w:tcPr>
          <w:p w14:paraId="1BD014F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94.468.400</w:t>
            </w:r>
          </w:p>
        </w:tc>
        <w:tc>
          <w:tcPr>
            <w:tcW w:w="915" w:type="dxa"/>
            <w:gridSpan w:val="2"/>
            <w:tcBorders>
              <w:top w:val="nil"/>
              <w:left w:val="nil"/>
              <w:bottom w:val="dotted" w:sz="4" w:space="0" w:color="969696"/>
              <w:right w:val="double" w:sz="6" w:space="0" w:color="969696"/>
            </w:tcBorders>
            <w:shd w:val="clear" w:color="auto" w:fill="auto"/>
            <w:noWrap/>
            <w:vAlign w:val="center"/>
            <w:hideMark/>
          </w:tcPr>
          <w:p w14:paraId="18C1BDF3"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24,96%</w:t>
            </w:r>
          </w:p>
        </w:tc>
      </w:tr>
      <w:tr w:rsidR="00A3414A" w:rsidRPr="00DF679C" w14:paraId="44D6FC8D" w14:textId="77777777" w:rsidTr="00A3414A">
        <w:trPr>
          <w:trHeight w:val="331"/>
        </w:trPr>
        <w:tc>
          <w:tcPr>
            <w:tcW w:w="1689" w:type="dxa"/>
            <w:tcBorders>
              <w:top w:val="nil"/>
              <w:left w:val="double" w:sz="6" w:space="0" w:color="969696"/>
              <w:bottom w:val="dotted" w:sz="4" w:space="0" w:color="969696"/>
              <w:right w:val="nil"/>
            </w:tcBorders>
            <w:shd w:val="clear" w:color="auto" w:fill="auto"/>
            <w:noWrap/>
            <w:vAlign w:val="center"/>
            <w:hideMark/>
          </w:tcPr>
          <w:p w14:paraId="3EFE37FD" w14:textId="45B90BAA"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Općina Punat</w:t>
            </w:r>
          </w:p>
        </w:tc>
        <w:tc>
          <w:tcPr>
            <w:tcW w:w="891" w:type="dxa"/>
            <w:tcBorders>
              <w:top w:val="nil"/>
              <w:left w:val="double" w:sz="6" w:space="0" w:color="969696"/>
              <w:bottom w:val="dotted" w:sz="4" w:space="0" w:color="969696"/>
              <w:right w:val="single" w:sz="4" w:space="0" w:color="969696"/>
            </w:tcBorders>
            <w:shd w:val="clear" w:color="auto" w:fill="auto"/>
            <w:noWrap/>
            <w:vAlign w:val="center"/>
            <w:hideMark/>
          </w:tcPr>
          <w:p w14:paraId="39B6B2E9"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10,55%</w:t>
            </w:r>
          </w:p>
        </w:tc>
        <w:tc>
          <w:tcPr>
            <w:tcW w:w="1116" w:type="dxa"/>
            <w:tcBorders>
              <w:top w:val="nil"/>
              <w:left w:val="nil"/>
              <w:bottom w:val="dotted" w:sz="4" w:space="0" w:color="969696"/>
              <w:right w:val="double" w:sz="6" w:space="0" w:color="969696"/>
            </w:tcBorders>
            <w:shd w:val="clear" w:color="auto" w:fill="auto"/>
            <w:noWrap/>
            <w:vAlign w:val="center"/>
            <w:hideMark/>
          </w:tcPr>
          <w:p w14:paraId="30FA71DB"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34.031.200</w:t>
            </w:r>
          </w:p>
        </w:tc>
        <w:tc>
          <w:tcPr>
            <w:tcW w:w="1018" w:type="dxa"/>
            <w:tcBorders>
              <w:top w:val="nil"/>
              <w:left w:val="nil"/>
              <w:bottom w:val="dotted" w:sz="4" w:space="0" w:color="969696"/>
              <w:right w:val="nil"/>
            </w:tcBorders>
            <w:shd w:val="clear" w:color="auto" w:fill="auto"/>
            <w:noWrap/>
            <w:vAlign w:val="center"/>
            <w:hideMark/>
          </w:tcPr>
          <w:p w14:paraId="12EEB6E7"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-740.800</w:t>
            </w:r>
          </w:p>
        </w:tc>
        <w:tc>
          <w:tcPr>
            <w:tcW w:w="1116" w:type="dxa"/>
            <w:tcBorders>
              <w:top w:val="nil"/>
              <w:left w:val="double" w:sz="6" w:space="0" w:color="969696"/>
              <w:bottom w:val="dotted" w:sz="4" w:space="0" w:color="969696"/>
              <w:right w:val="nil"/>
            </w:tcBorders>
            <w:shd w:val="clear" w:color="auto" w:fill="auto"/>
            <w:noWrap/>
            <w:vAlign w:val="center"/>
            <w:hideMark/>
          </w:tcPr>
          <w:p w14:paraId="6AEB755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33.290.400</w:t>
            </w:r>
          </w:p>
        </w:tc>
        <w:tc>
          <w:tcPr>
            <w:tcW w:w="1026" w:type="dxa"/>
            <w:tcBorders>
              <w:top w:val="nil"/>
              <w:left w:val="double" w:sz="6" w:space="0" w:color="969696"/>
              <w:bottom w:val="dotted" w:sz="4" w:space="0" w:color="969696"/>
              <w:right w:val="double" w:sz="6" w:space="0" w:color="969696"/>
            </w:tcBorders>
            <w:shd w:val="clear" w:color="auto" w:fill="auto"/>
            <w:noWrap/>
            <w:vAlign w:val="center"/>
            <w:hideMark/>
          </w:tcPr>
          <w:p w14:paraId="66005D25"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6.108.100</w:t>
            </w:r>
          </w:p>
        </w:tc>
        <w:tc>
          <w:tcPr>
            <w:tcW w:w="1116" w:type="dxa"/>
            <w:tcBorders>
              <w:top w:val="nil"/>
              <w:left w:val="nil"/>
              <w:bottom w:val="dotted" w:sz="4" w:space="0" w:color="969696"/>
              <w:right w:val="single" w:sz="4" w:space="0" w:color="969696"/>
            </w:tcBorders>
            <w:shd w:val="clear" w:color="auto" w:fill="auto"/>
            <w:noWrap/>
            <w:vAlign w:val="center"/>
            <w:hideMark/>
          </w:tcPr>
          <w:p w14:paraId="3702419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39.398.500</w:t>
            </w:r>
          </w:p>
        </w:tc>
        <w:tc>
          <w:tcPr>
            <w:tcW w:w="915" w:type="dxa"/>
            <w:gridSpan w:val="2"/>
            <w:tcBorders>
              <w:top w:val="nil"/>
              <w:left w:val="nil"/>
              <w:bottom w:val="dotted" w:sz="4" w:space="0" w:color="969696"/>
              <w:right w:val="double" w:sz="6" w:space="0" w:color="969696"/>
            </w:tcBorders>
            <w:shd w:val="clear" w:color="auto" w:fill="auto"/>
            <w:noWrap/>
            <w:vAlign w:val="center"/>
            <w:hideMark/>
          </w:tcPr>
          <w:p w14:paraId="6C9BF076"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10,41%</w:t>
            </w:r>
          </w:p>
        </w:tc>
      </w:tr>
      <w:tr w:rsidR="00A3414A" w:rsidRPr="00DF679C" w14:paraId="6066EC46" w14:textId="77777777" w:rsidTr="00A3414A">
        <w:trPr>
          <w:trHeight w:val="278"/>
        </w:trPr>
        <w:tc>
          <w:tcPr>
            <w:tcW w:w="1689" w:type="dxa"/>
            <w:tcBorders>
              <w:top w:val="nil"/>
              <w:left w:val="double" w:sz="6" w:space="0" w:color="969696"/>
              <w:bottom w:val="dotted" w:sz="4" w:space="0" w:color="969696"/>
              <w:right w:val="nil"/>
            </w:tcBorders>
            <w:shd w:val="clear" w:color="auto" w:fill="auto"/>
            <w:noWrap/>
            <w:vAlign w:val="center"/>
            <w:hideMark/>
          </w:tcPr>
          <w:p w14:paraId="06A38591" w14:textId="5F708775"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Općina Baška</w:t>
            </w:r>
          </w:p>
        </w:tc>
        <w:tc>
          <w:tcPr>
            <w:tcW w:w="891" w:type="dxa"/>
            <w:tcBorders>
              <w:top w:val="nil"/>
              <w:left w:val="double" w:sz="6" w:space="0" w:color="969696"/>
              <w:bottom w:val="dotted" w:sz="4" w:space="0" w:color="969696"/>
              <w:right w:val="single" w:sz="4" w:space="0" w:color="969696"/>
            </w:tcBorders>
            <w:shd w:val="clear" w:color="auto" w:fill="auto"/>
            <w:noWrap/>
            <w:vAlign w:val="center"/>
            <w:hideMark/>
          </w:tcPr>
          <w:p w14:paraId="4A47C512"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13,93%</w:t>
            </w:r>
          </w:p>
        </w:tc>
        <w:tc>
          <w:tcPr>
            <w:tcW w:w="1116" w:type="dxa"/>
            <w:tcBorders>
              <w:top w:val="nil"/>
              <w:left w:val="nil"/>
              <w:bottom w:val="dotted" w:sz="4" w:space="0" w:color="969696"/>
              <w:right w:val="double" w:sz="6" w:space="0" w:color="969696"/>
            </w:tcBorders>
            <w:shd w:val="clear" w:color="auto" w:fill="auto"/>
            <w:noWrap/>
            <w:vAlign w:val="center"/>
            <w:hideMark/>
          </w:tcPr>
          <w:p w14:paraId="3E6022A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44.912.600</w:t>
            </w:r>
          </w:p>
        </w:tc>
        <w:tc>
          <w:tcPr>
            <w:tcW w:w="1018" w:type="dxa"/>
            <w:tcBorders>
              <w:top w:val="nil"/>
              <w:left w:val="nil"/>
              <w:bottom w:val="dotted" w:sz="4" w:space="0" w:color="969696"/>
              <w:right w:val="nil"/>
            </w:tcBorders>
            <w:shd w:val="clear" w:color="auto" w:fill="auto"/>
            <w:noWrap/>
            <w:vAlign w:val="center"/>
            <w:hideMark/>
          </w:tcPr>
          <w:p w14:paraId="091D1AD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 </w:t>
            </w:r>
          </w:p>
        </w:tc>
        <w:tc>
          <w:tcPr>
            <w:tcW w:w="1116" w:type="dxa"/>
            <w:tcBorders>
              <w:top w:val="nil"/>
              <w:left w:val="double" w:sz="6" w:space="0" w:color="969696"/>
              <w:bottom w:val="dotted" w:sz="4" w:space="0" w:color="969696"/>
              <w:right w:val="nil"/>
            </w:tcBorders>
            <w:shd w:val="clear" w:color="auto" w:fill="auto"/>
            <w:noWrap/>
            <w:vAlign w:val="center"/>
            <w:hideMark/>
          </w:tcPr>
          <w:p w14:paraId="3C9C2F62"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44.912.600</w:t>
            </w:r>
          </w:p>
        </w:tc>
        <w:tc>
          <w:tcPr>
            <w:tcW w:w="1026" w:type="dxa"/>
            <w:tcBorders>
              <w:top w:val="nil"/>
              <w:left w:val="double" w:sz="6" w:space="0" w:color="969696"/>
              <w:bottom w:val="dotted" w:sz="4" w:space="0" w:color="969696"/>
              <w:right w:val="double" w:sz="6" w:space="0" w:color="969696"/>
            </w:tcBorders>
            <w:shd w:val="clear" w:color="auto" w:fill="auto"/>
            <w:noWrap/>
            <w:vAlign w:val="center"/>
            <w:hideMark/>
          </w:tcPr>
          <w:p w14:paraId="4ED284B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4.102.300</w:t>
            </w:r>
          </w:p>
        </w:tc>
        <w:tc>
          <w:tcPr>
            <w:tcW w:w="1116" w:type="dxa"/>
            <w:tcBorders>
              <w:top w:val="nil"/>
              <w:left w:val="nil"/>
              <w:bottom w:val="dotted" w:sz="4" w:space="0" w:color="969696"/>
              <w:right w:val="single" w:sz="4" w:space="0" w:color="969696"/>
            </w:tcBorders>
            <w:shd w:val="clear" w:color="auto" w:fill="auto"/>
            <w:noWrap/>
            <w:vAlign w:val="center"/>
            <w:hideMark/>
          </w:tcPr>
          <w:p w14:paraId="7D3935B7"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49.014.900</w:t>
            </w:r>
          </w:p>
        </w:tc>
        <w:tc>
          <w:tcPr>
            <w:tcW w:w="915" w:type="dxa"/>
            <w:gridSpan w:val="2"/>
            <w:tcBorders>
              <w:top w:val="nil"/>
              <w:left w:val="nil"/>
              <w:bottom w:val="dotted" w:sz="4" w:space="0" w:color="969696"/>
              <w:right w:val="double" w:sz="6" w:space="0" w:color="969696"/>
            </w:tcBorders>
            <w:shd w:val="clear" w:color="auto" w:fill="auto"/>
            <w:noWrap/>
            <w:vAlign w:val="center"/>
            <w:hideMark/>
          </w:tcPr>
          <w:p w14:paraId="16CEAF42"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12,95%</w:t>
            </w:r>
          </w:p>
        </w:tc>
      </w:tr>
      <w:tr w:rsidR="00A3414A" w:rsidRPr="00DF679C" w14:paraId="4811345B" w14:textId="77777777" w:rsidTr="00A3414A">
        <w:trPr>
          <w:trHeight w:val="283"/>
        </w:trPr>
        <w:tc>
          <w:tcPr>
            <w:tcW w:w="1689" w:type="dxa"/>
            <w:tcBorders>
              <w:top w:val="nil"/>
              <w:left w:val="double" w:sz="6" w:space="0" w:color="969696"/>
              <w:bottom w:val="dotted" w:sz="4" w:space="0" w:color="969696"/>
              <w:right w:val="nil"/>
            </w:tcBorders>
            <w:shd w:val="clear" w:color="auto" w:fill="auto"/>
            <w:noWrap/>
            <w:vAlign w:val="center"/>
            <w:hideMark/>
          </w:tcPr>
          <w:p w14:paraId="67832E51" w14:textId="724D1469"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Općina Dobrinj</w:t>
            </w:r>
          </w:p>
        </w:tc>
        <w:tc>
          <w:tcPr>
            <w:tcW w:w="891" w:type="dxa"/>
            <w:tcBorders>
              <w:top w:val="nil"/>
              <w:left w:val="double" w:sz="6" w:space="0" w:color="969696"/>
              <w:bottom w:val="dotted" w:sz="4" w:space="0" w:color="969696"/>
              <w:right w:val="single" w:sz="4" w:space="0" w:color="969696"/>
            </w:tcBorders>
            <w:shd w:val="clear" w:color="auto" w:fill="auto"/>
            <w:noWrap/>
            <w:vAlign w:val="center"/>
            <w:hideMark/>
          </w:tcPr>
          <w:p w14:paraId="2E94C10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12,31%</w:t>
            </w:r>
          </w:p>
        </w:tc>
        <w:tc>
          <w:tcPr>
            <w:tcW w:w="1116" w:type="dxa"/>
            <w:tcBorders>
              <w:top w:val="nil"/>
              <w:left w:val="nil"/>
              <w:bottom w:val="dotted" w:sz="4" w:space="0" w:color="969696"/>
              <w:right w:val="double" w:sz="6" w:space="0" w:color="969696"/>
            </w:tcBorders>
            <w:shd w:val="clear" w:color="auto" w:fill="auto"/>
            <w:noWrap/>
            <w:vAlign w:val="center"/>
            <w:hideMark/>
          </w:tcPr>
          <w:p w14:paraId="1BBEF195"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39.674.600</w:t>
            </w:r>
          </w:p>
        </w:tc>
        <w:tc>
          <w:tcPr>
            <w:tcW w:w="1018" w:type="dxa"/>
            <w:tcBorders>
              <w:top w:val="nil"/>
              <w:left w:val="nil"/>
              <w:bottom w:val="dotted" w:sz="4" w:space="0" w:color="969696"/>
              <w:right w:val="nil"/>
            </w:tcBorders>
            <w:shd w:val="clear" w:color="auto" w:fill="auto"/>
            <w:noWrap/>
            <w:vAlign w:val="center"/>
            <w:hideMark/>
          </w:tcPr>
          <w:p w14:paraId="07469D26"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 </w:t>
            </w:r>
          </w:p>
        </w:tc>
        <w:tc>
          <w:tcPr>
            <w:tcW w:w="1116" w:type="dxa"/>
            <w:tcBorders>
              <w:top w:val="nil"/>
              <w:left w:val="double" w:sz="6" w:space="0" w:color="969696"/>
              <w:bottom w:val="dotted" w:sz="4" w:space="0" w:color="969696"/>
              <w:right w:val="nil"/>
            </w:tcBorders>
            <w:shd w:val="clear" w:color="auto" w:fill="auto"/>
            <w:noWrap/>
            <w:vAlign w:val="center"/>
            <w:hideMark/>
          </w:tcPr>
          <w:p w14:paraId="3B07813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39.674.600</w:t>
            </w:r>
          </w:p>
        </w:tc>
        <w:tc>
          <w:tcPr>
            <w:tcW w:w="1026" w:type="dxa"/>
            <w:tcBorders>
              <w:top w:val="nil"/>
              <w:left w:val="double" w:sz="6" w:space="0" w:color="969696"/>
              <w:bottom w:val="dotted" w:sz="4" w:space="0" w:color="969696"/>
              <w:right w:val="double" w:sz="6" w:space="0" w:color="969696"/>
            </w:tcBorders>
            <w:shd w:val="clear" w:color="auto" w:fill="auto"/>
            <w:noWrap/>
            <w:vAlign w:val="center"/>
            <w:hideMark/>
          </w:tcPr>
          <w:p w14:paraId="29F5D11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13.879.900</w:t>
            </w:r>
          </w:p>
        </w:tc>
        <w:tc>
          <w:tcPr>
            <w:tcW w:w="1116" w:type="dxa"/>
            <w:tcBorders>
              <w:top w:val="nil"/>
              <w:left w:val="nil"/>
              <w:bottom w:val="dotted" w:sz="4" w:space="0" w:color="969696"/>
              <w:right w:val="single" w:sz="4" w:space="0" w:color="969696"/>
            </w:tcBorders>
            <w:shd w:val="clear" w:color="auto" w:fill="auto"/>
            <w:noWrap/>
            <w:vAlign w:val="center"/>
            <w:hideMark/>
          </w:tcPr>
          <w:p w14:paraId="5663F1B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53.554.500</w:t>
            </w:r>
          </w:p>
        </w:tc>
        <w:tc>
          <w:tcPr>
            <w:tcW w:w="915" w:type="dxa"/>
            <w:gridSpan w:val="2"/>
            <w:tcBorders>
              <w:top w:val="nil"/>
              <w:left w:val="nil"/>
              <w:bottom w:val="dotted" w:sz="4" w:space="0" w:color="969696"/>
              <w:right w:val="double" w:sz="6" w:space="0" w:color="969696"/>
            </w:tcBorders>
            <w:shd w:val="clear" w:color="auto" w:fill="auto"/>
            <w:noWrap/>
            <w:vAlign w:val="center"/>
            <w:hideMark/>
          </w:tcPr>
          <w:p w14:paraId="533DE64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14,15%</w:t>
            </w:r>
          </w:p>
        </w:tc>
      </w:tr>
      <w:tr w:rsidR="00A3414A" w:rsidRPr="00DF679C" w14:paraId="3DE67146" w14:textId="77777777" w:rsidTr="00A3414A">
        <w:trPr>
          <w:trHeight w:val="273"/>
        </w:trPr>
        <w:tc>
          <w:tcPr>
            <w:tcW w:w="1689" w:type="dxa"/>
            <w:tcBorders>
              <w:top w:val="nil"/>
              <w:left w:val="double" w:sz="6" w:space="0" w:color="969696"/>
              <w:bottom w:val="double" w:sz="6" w:space="0" w:color="969696"/>
              <w:right w:val="nil"/>
            </w:tcBorders>
            <w:shd w:val="clear" w:color="auto" w:fill="auto"/>
            <w:noWrap/>
            <w:vAlign w:val="center"/>
            <w:hideMark/>
          </w:tcPr>
          <w:p w14:paraId="571256DB" w14:textId="4D171197"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Općina Vrbnik</w:t>
            </w:r>
          </w:p>
        </w:tc>
        <w:tc>
          <w:tcPr>
            <w:tcW w:w="891" w:type="dxa"/>
            <w:tcBorders>
              <w:top w:val="nil"/>
              <w:left w:val="double" w:sz="6" w:space="0" w:color="969696"/>
              <w:bottom w:val="double" w:sz="6" w:space="0" w:color="969696"/>
              <w:right w:val="single" w:sz="4" w:space="0" w:color="969696"/>
            </w:tcBorders>
            <w:shd w:val="clear" w:color="auto" w:fill="auto"/>
            <w:noWrap/>
            <w:vAlign w:val="center"/>
            <w:hideMark/>
          </w:tcPr>
          <w:p w14:paraId="759AFA8E"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5,95%</w:t>
            </w:r>
          </w:p>
        </w:tc>
        <w:tc>
          <w:tcPr>
            <w:tcW w:w="1116" w:type="dxa"/>
            <w:tcBorders>
              <w:top w:val="nil"/>
              <w:left w:val="nil"/>
              <w:bottom w:val="double" w:sz="6" w:space="0" w:color="969696"/>
              <w:right w:val="double" w:sz="6" w:space="0" w:color="969696"/>
            </w:tcBorders>
            <w:shd w:val="clear" w:color="auto" w:fill="auto"/>
            <w:noWrap/>
            <w:vAlign w:val="center"/>
            <w:hideMark/>
          </w:tcPr>
          <w:p w14:paraId="558B021C"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19.175.800</w:t>
            </w:r>
          </w:p>
        </w:tc>
        <w:tc>
          <w:tcPr>
            <w:tcW w:w="1018" w:type="dxa"/>
            <w:tcBorders>
              <w:top w:val="nil"/>
              <w:left w:val="nil"/>
              <w:bottom w:val="double" w:sz="6" w:space="0" w:color="969696"/>
              <w:right w:val="nil"/>
            </w:tcBorders>
            <w:shd w:val="clear" w:color="auto" w:fill="auto"/>
            <w:noWrap/>
            <w:vAlign w:val="center"/>
            <w:hideMark/>
          </w:tcPr>
          <w:p w14:paraId="50DCD4FF"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 </w:t>
            </w:r>
          </w:p>
        </w:tc>
        <w:tc>
          <w:tcPr>
            <w:tcW w:w="1116" w:type="dxa"/>
            <w:tcBorders>
              <w:top w:val="nil"/>
              <w:left w:val="double" w:sz="6" w:space="0" w:color="969696"/>
              <w:bottom w:val="double" w:sz="6" w:space="0" w:color="969696"/>
              <w:right w:val="nil"/>
            </w:tcBorders>
            <w:shd w:val="clear" w:color="auto" w:fill="auto"/>
            <w:noWrap/>
            <w:vAlign w:val="center"/>
            <w:hideMark/>
          </w:tcPr>
          <w:p w14:paraId="42E418E6"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19.175.800</w:t>
            </w:r>
          </w:p>
        </w:tc>
        <w:tc>
          <w:tcPr>
            <w:tcW w:w="1026" w:type="dxa"/>
            <w:tcBorders>
              <w:top w:val="nil"/>
              <w:left w:val="double" w:sz="6" w:space="0" w:color="969696"/>
              <w:bottom w:val="double" w:sz="6" w:space="0" w:color="969696"/>
              <w:right w:val="double" w:sz="6" w:space="0" w:color="969696"/>
            </w:tcBorders>
            <w:shd w:val="clear" w:color="auto" w:fill="auto"/>
            <w:noWrap/>
            <w:vAlign w:val="center"/>
            <w:hideMark/>
          </w:tcPr>
          <w:p w14:paraId="439BF65D"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2.629.400</w:t>
            </w:r>
          </w:p>
        </w:tc>
        <w:tc>
          <w:tcPr>
            <w:tcW w:w="1116" w:type="dxa"/>
            <w:tcBorders>
              <w:top w:val="nil"/>
              <w:left w:val="nil"/>
              <w:bottom w:val="double" w:sz="6" w:space="0" w:color="969696"/>
              <w:right w:val="single" w:sz="4" w:space="0" w:color="969696"/>
            </w:tcBorders>
            <w:shd w:val="clear" w:color="auto" w:fill="auto"/>
            <w:noWrap/>
            <w:vAlign w:val="center"/>
            <w:hideMark/>
          </w:tcPr>
          <w:p w14:paraId="51471A36"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21.805.200</w:t>
            </w:r>
          </w:p>
        </w:tc>
        <w:tc>
          <w:tcPr>
            <w:tcW w:w="915" w:type="dxa"/>
            <w:gridSpan w:val="2"/>
            <w:tcBorders>
              <w:top w:val="nil"/>
              <w:left w:val="nil"/>
              <w:bottom w:val="double" w:sz="6" w:space="0" w:color="969696"/>
              <w:right w:val="double" w:sz="6" w:space="0" w:color="969696"/>
            </w:tcBorders>
            <w:shd w:val="clear" w:color="auto" w:fill="auto"/>
            <w:noWrap/>
            <w:vAlign w:val="center"/>
            <w:hideMark/>
          </w:tcPr>
          <w:p w14:paraId="2FC56DF3"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5,76%</w:t>
            </w:r>
          </w:p>
        </w:tc>
      </w:tr>
      <w:tr w:rsidR="00A3414A" w:rsidRPr="00DF679C" w14:paraId="1C536688" w14:textId="77777777" w:rsidTr="00A3414A">
        <w:trPr>
          <w:trHeight w:val="403"/>
        </w:trPr>
        <w:tc>
          <w:tcPr>
            <w:tcW w:w="1689" w:type="dxa"/>
            <w:tcBorders>
              <w:top w:val="nil"/>
              <w:left w:val="double" w:sz="6" w:space="0" w:color="969696"/>
              <w:bottom w:val="double" w:sz="6" w:space="0" w:color="969696"/>
              <w:right w:val="nil"/>
            </w:tcBorders>
            <w:shd w:val="clear" w:color="auto" w:fill="auto"/>
            <w:noWrap/>
            <w:vAlign w:val="center"/>
            <w:hideMark/>
          </w:tcPr>
          <w:p w14:paraId="4C945BE0" w14:textId="77777777" w:rsidR="00A3414A" w:rsidRPr="00DF679C" w:rsidRDefault="00A3414A" w:rsidP="008F72C9">
            <w:pPr>
              <w:spacing w:after="0" w:line="240" w:lineRule="auto"/>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Ukupno</w:t>
            </w:r>
          </w:p>
        </w:tc>
        <w:tc>
          <w:tcPr>
            <w:tcW w:w="891" w:type="dxa"/>
            <w:tcBorders>
              <w:top w:val="nil"/>
              <w:left w:val="double" w:sz="6" w:space="0" w:color="969696"/>
              <w:bottom w:val="double" w:sz="6" w:space="0" w:color="969696"/>
              <w:right w:val="single" w:sz="4" w:space="0" w:color="969696"/>
            </w:tcBorders>
            <w:shd w:val="clear" w:color="auto" w:fill="auto"/>
            <w:noWrap/>
            <w:vAlign w:val="center"/>
            <w:hideMark/>
          </w:tcPr>
          <w:p w14:paraId="72958B38"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100,00%</w:t>
            </w:r>
          </w:p>
        </w:tc>
        <w:tc>
          <w:tcPr>
            <w:tcW w:w="1116" w:type="dxa"/>
            <w:tcBorders>
              <w:top w:val="nil"/>
              <w:left w:val="nil"/>
              <w:bottom w:val="double" w:sz="6" w:space="0" w:color="969696"/>
              <w:right w:val="double" w:sz="6" w:space="0" w:color="969696"/>
            </w:tcBorders>
            <w:shd w:val="clear" w:color="auto" w:fill="auto"/>
            <w:noWrap/>
            <w:vAlign w:val="center"/>
            <w:hideMark/>
          </w:tcPr>
          <w:p w14:paraId="6E0AE44B"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322.395.200</w:t>
            </w:r>
          </w:p>
        </w:tc>
        <w:tc>
          <w:tcPr>
            <w:tcW w:w="1018" w:type="dxa"/>
            <w:tcBorders>
              <w:top w:val="nil"/>
              <w:left w:val="nil"/>
              <w:bottom w:val="double" w:sz="6" w:space="0" w:color="969696"/>
              <w:right w:val="nil"/>
            </w:tcBorders>
            <w:shd w:val="clear" w:color="auto" w:fill="auto"/>
            <w:noWrap/>
            <w:vAlign w:val="center"/>
            <w:hideMark/>
          </w:tcPr>
          <w:p w14:paraId="32E5025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0</w:t>
            </w:r>
          </w:p>
        </w:tc>
        <w:tc>
          <w:tcPr>
            <w:tcW w:w="1116" w:type="dxa"/>
            <w:tcBorders>
              <w:top w:val="nil"/>
              <w:left w:val="double" w:sz="6" w:space="0" w:color="969696"/>
              <w:bottom w:val="double" w:sz="6" w:space="0" w:color="969696"/>
              <w:right w:val="nil"/>
            </w:tcBorders>
            <w:shd w:val="clear" w:color="auto" w:fill="auto"/>
            <w:noWrap/>
            <w:vAlign w:val="center"/>
            <w:hideMark/>
          </w:tcPr>
          <w:p w14:paraId="169694A7"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322.395.200</w:t>
            </w:r>
          </w:p>
        </w:tc>
        <w:tc>
          <w:tcPr>
            <w:tcW w:w="1026" w:type="dxa"/>
            <w:tcBorders>
              <w:top w:val="nil"/>
              <w:left w:val="double" w:sz="6" w:space="0" w:color="969696"/>
              <w:bottom w:val="double" w:sz="6" w:space="0" w:color="969696"/>
              <w:right w:val="double" w:sz="6" w:space="0" w:color="969696"/>
            </w:tcBorders>
            <w:shd w:val="clear" w:color="auto" w:fill="auto"/>
            <w:noWrap/>
            <w:vAlign w:val="center"/>
            <w:hideMark/>
          </w:tcPr>
          <w:p w14:paraId="29D1792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56.067.800</w:t>
            </w:r>
          </w:p>
        </w:tc>
        <w:tc>
          <w:tcPr>
            <w:tcW w:w="1116" w:type="dxa"/>
            <w:tcBorders>
              <w:top w:val="nil"/>
              <w:left w:val="nil"/>
              <w:bottom w:val="double" w:sz="6" w:space="0" w:color="969696"/>
              <w:right w:val="nil"/>
            </w:tcBorders>
            <w:shd w:val="clear" w:color="auto" w:fill="auto"/>
            <w:noWrap/>
            <w:vAlign w:val="center"/>
            <w:hideMark/>
          </w:tcPr>
          <w:p w14:paraId="64208BC7"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378.463.000</w:t>
            </w:r>
          </w:p>
        </w:tc>
        <w:tc>
          <w:tcPr>
            <w:tcW w:w="915" w:type="dxa"/>
            <w:gridSpan w:val="2"/>
            <w:tcBorders>
              <w:top w:val="double" w:sz="6" w:space="0" w:color="969696"/>
              <w:left w:val="single" w:sz="4" w:space="0" w:color="969696"/>
              <w:bottom w:val="double" w:sz="6" w:space="0" w:color="969696"/>
              <w:right w:val="double" w:sz="6" w:space="0" w:color="969696"/>
            </w:tcBorders>
            <w:shd w:val="clear" w:color="auto" w:fill="auto"/>
            <w:noWrap/>
            <w:vAlign w:val="center"/>
            <w:hideMark/>
          </w:tcPr>
          <w:p w14:paraId="4F9F3240" w14:textId="77777777" w:rsidR="00A3414A" w:rsidRPr="00DF679C" w:rsidRDefault="00A3414A" w:rsidP="008F72C9">
            <w:pPr>
              <w:spacing w:after="0" w:line="240" w:lineRule="auto"/>
              <w:jc w:val="center"/>
              <w:rPr>
                <w:rFonts w:ascii="Times New Roman" w:eastAsia="Times New Roman" w:hAnsi="Times New Roman" w:cs="Times New Roman"/>
                <w:b/>
                <w:bCs/>
                <w:sz w:val="18"/>
                <w:szCs w:val="18"/>
                <w:lang w:eastAsia="hr-HR"/>
              </w:rPr>
            </w:pPr>
            <w:r w:rsidRPr="00DF679C">
              <w:rPr>
                <w:rFonts w:ascii="Times New Roman" w:eastAsia="Times New Roman" w:hAnsi="Times New Roman" w:cs="Times New Roman"/>
                <w:b/>
                <w:bCs/>
                <w:sz w:val="18"/>
                <w:szCs w:val="18"/>
                <w:lang w:eastAsia="hr-HR"/>
              </w:rPr>
              <w:t>100,00%</w:t>
            </w:r>
          </w:p>
        </w:tc>
      </w:tr>
    </w:tbl>
    <w:p w14:paraId="46911F83" w14:textId="3628D01C" w:rsidR="00F750AA" w:rsidRDefault="00F750AA" w:rsidP="00F750AA">
      <w:pPr>
        <w:spacing w:after="0" w:line="240" w:lineRule="auto"/>
        <w:ind w:right="92"/>
        <w:jc w:val="both"/>
        <w:rPr>
          <w:rFonts w:ascii="Calibri" w:eastAsia="Times New Roman" w:hAnsi="Calibri" w:cs="Times New Roman"/>
          <w:b/>
          <w:bCs/>
          <w:sz w:val="24"/>
          <w:szCs w:val="24"/>
        </w:rPr>
      </w:pPr>
    </w:p>
    <w:p w14:paraId="56C48EBF" w14:textId="7E3B7346" w:rsidR="002871AE" w:rsidRPr="00A3414A" w:rsidRDefault="002871AE" w:rsidP="00F750AA">
      <w:pPr>
        <w:spacing w:after="0" w:line="240" w:lineRule="auto"/>
        <w:ind w:right="92"/>
        <w:jc w:val="both"/>
        <w:rPr>
          <w:rFonts w:ascii="Calibri" w:eastAsia="Times New Roman" w:hAnsi="Calibri" w:cs="Times New Roman"/>
          <w:sz w:val="24"/>
          <w:szCs w:val="24"/>
        </w:rPr>
      </w:pPr>
      <w:r w:rsidRPr="00A3414A">
        <w:rPr>
          <w:rFonts w:ascii="Calibri" w:eastAsia="Times New Roman" w:hAnsi="Calibri" w:cs="Times New Roman"/>
          <w:sz w:val="24"/>
          <w:szCs w:val="24"/>
        </w:rPr>
        <w:t>Temeljni kapital društva povećan je s iznosa od 322.395.200 kn za iznos od 56.067.800 kn na iznos od 378.</w:t>
      </w:r>
      <w:r w:rsidR="000C0509" w:rsidRPr="00A3414A">
        <w:rPr>
          <w:rFonts w:ascii="Calibri" w:eastAsia="Times New Roman" w:hAnsi="Calibri" w:cs="Times New Roman"/>
          <w:sz w:val="24"/>
          <w:szCs w:val="24"/>
        </w:rPr>
        <w:t>463.000 kn.</w:t>
      </w:r>
      <w:r w:rsidRPr="00A3414A">
        <w:rPr>
          <w:rFonts w:ascii="Calibri" w:eastAsia="Times New Roman" w:hAnsi="Calibri" w:cs="Times New Roman"/>
          <w:sz w:val="24"/>
          <w:szCs w:val="24"/>
        </w:rPr>
        <w:t xml:space="preserve"> </w:t>
      </w:r>
    </w:p>
    <w:p w14:paraId="222CD8CC" w14:textId="77777777" w:rsidR="00315735" w:rsidRPr="00A3414A" w:rsidRDefault="00315735" w:rsidP="00F750AA">
      <w:pPr>
        <w:spacing w:after="0" w:line="240" w:lineRule="auto"/>
        <w:ind w:right="92"/>
        <w:jc w:val="both"/>
        <w:rPr>
          <w:rFonts w:ascii="Calibri" w:eastAsia="Times New Roman" w:hAnsi="Calibri" w:cs="Times New Roman"/>
          <w:b/>
          <w:bCs/>
          <w:sz w:val="24"/>
          <w:szCs w:val="24"/>
        </w:rPr>
      </w:pPr>
    </w:p>
    <w:bookmarkEnd w:id="62"/>
    <w:p w14:paraId="27A45AFB" w14:textId="7D9F309A" w:rsidR="005B13DF" w:rsidRPr="00DF679C" w:rsidRDefault="00066314" w:rsidP="00DD3799">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A3414A">
        <w:rPr>
          <w:rFonts w:ascii="Calibri" w:eastAsia="Times New Roman" w:hAnsi="Calibri" w:cs="Times New Roman"/>
          <w:b/>
          <w:bCs/>
          <w:iCs/>
          <w:sz w:val="24"/>
          <w:szCs w:val="24"/>
          <w:lang w:eastAsia="hr-HR"/>
        </w:rPr>
        <w:t>/ii/</w:t>
      </w:r>
      <w:r w:rsidRPr="00A3414A">
        <w:rPr>
          <w:rFonts w:ascii="Calibri" w:eastAsia="Times New Roman" w:hAnsi="Calibri" w:cs="Times New Roman"/>
          <w:iCs/>
          <w:sz w:val="24"/>
          <w:szCs w:val="24"/>
          <w:lang w:eastAsia="hr-HR"/>
        </w:rPr>
        <w:t xml:space="preserve"> </w:t>
      </w:r>
      <w:r w:rsidR="005533EE" w:rsidRPr="00A3414A">
        <w:rPr>
          <w:rFonts w:ascii="Calibri" w:eastAsia="Times New Roman" w:hAnsi="Calibri" w:cs="Times New Roman"/>
          <w:iCs/>
          <w:sz w:val="24"/>
          <w:szCs w:val="24"/>
          <w:lang w:eastAsia="hr-HR"/>
        </w:rPr>
        <w:tab/>
      </w:r>
      <w:bookmarkStart w:id="63" w:name="_Hlk73357956"/>
      <w:r w:rsidR="0055169F" w:rsidRPr="00A3414A">
        <w:rPr>
          <w:rFonts w:ascii="Calibri" w:eastAsia="Times New Roman" w:hAnsi="Calibri" w:cs="Times New Roman"/>
          <w:iCs/>
          <w:sz w:val="24"/>
          <w:szCs w:val="24"/>
          <w:lang w:eastAsia="hr-HR"/>
        </w:rPr>
        <w:t xml:space="preserve">Kao što je opisano u Bilješci 25./ii/ </w:t>
      </w:r>
      <w:r w:rsidRPr="00A3414A">
        <w:rPr>
          <w:rFonts w:ascii="Calibri" w:eastAsia="Times New Roman" w:hAnsi="Calibri" w:cs="Times New Roman"/>
          <w:sz w:val="24"/>
          <w:szCs w:val="24"/>
        </w:rPr>
        <w:t>Ernst &amp; Young savjetovanj</w:t>
      </w:r>
      <w:r w:rsidR="009535D1" w:rsidRPr="00A3414A">
        <w:rPr>
          <w:rFonts w:ascii="Calibri" w:eastAsia="Times New Roman" w:hAnsi="Calibri" w:cs="Times New Roman"/>
          <w:sz w:val="24"/>
          <w:szCs w:val="24"/>
        </w:rPr>
        <w:t>e</w:t>
      </w:r>
      <w:r w:rsidRPr="00A3414A">
        <w:rPr>
          <w:rFonts w:ascii="Calibri" w:eastAsia="Times New Roman" w:hAnsi="Calibri" w:cs="Times New Roman"/>
          <w:sz w:val="24"/>
          <w:szCs w:val="24"/>
        </w:rPr>
        <w:t xml:space="preserve"> d.o.o.</w:t>
      </w:r>
      <w:r w:rsidR="00DD3799" w:rsidRPr="00A3414A">
        <w:rPr>
          <w:rFonts w:ascii="Calibri" w:eastAsia="Times New Roman" w:hAnsi="Calibri" w:cs="Times New Roman"/>
          <w:sz w:val="24"/>
          <w:szCs w:val="24"/>
        </w:rPr>
        <w:t xml:space="preserve"> uputilo je u travnju </w:t>
      </w:r>
      <w:r w:rsidR="00DD3799" w:rsidRPr="00A3414A">
        <w:rPr>
          <w:rFonts w:ascii="Calibri" w:eastAsia="Times New Roman" w:hAnsi="Calibri" w:cs="Times New Roman"/>
          <w:iCs/>
          <w:sz w:val="24"/>
          <w:szCs w:val="24"/>
          <w:lang w:eastAsia="hr-HR"/>
        </w:rPr>
        <w:t xml:space="preserve"> 2021. godine </w:t>
      </w:r>
      <w:r w:rsidR="009535D1" w:rsidRPr="00A3414A">
        <w:rPr>
          <w:rFonts w:ascii="Calibri" w:eastAsia="Times New Roman" w:hAnsi="Calibri" w:cs="Times New Roman"/>
          <w:sz w:val="24"/>
          <w:szCs w:val="24"/>
        </w:rPr>
        <w:t>prijedlog sporazuma o završetku ugovora o uslugama tehničke podrške upravljanja EU projektom</w:t>
      </w:r>
      <w:r w:rsidR="00DD3799" w:rsidRPr="00A3414A">
        <w:rPr>
          <w:rFonts w:ascii="Calibri" w:eastAsia="Times New Roman" w:hAnsi="Calibri" w:cs="Times New Roman"/>
          <w:sz w:val="24"/>
          <w:szCs w:val="24"/>
        </w:rPr>
        <w:t xml:space="preserve"> </w:t>
      </w:r>
      <w:r w:rsidR="009535D1" w:rsidRPr="00A3414A">
        <w:rPr>
          <w:rFonts w:ascii="Calibri" w:eastAsia="Times New Roman" w:hAnsi="Calibri" w:cs="Times New Roman"/>
          <w:iCs/>
          <w:sz w:val="24"/>
          <w:szCs w:val="24"/>
        </w:rPr>
        <w:t>„Projekt prikupljanja, pročišćavanja i odvodnje otpadnih voda na području otoka Krka“ prema kojem bi upravljanje projektom završilo do srpnja 2021. godine.</w:t>
      </w:r>
      <w:r w:rsidR="009535D1" w:rsidRPr="00DF679C">
        <w:rPr>
          <w:rFonts w:ascii="Calibri" w:eastAsia="Times New Roman" w:hAnsi="Calibri" w:cs="Times New Roman"/>
          <w:iCs/>
          <w:sz w:val="24"/>
          <w:szCs w:val="24"/>
        </w:rPr>
        <w:t xml:space="preserve"> </w:t>
      </w:r>
    </w:p>
    <w:p w14:paraId="7B43F3DC" w14:textId="532AA696" w:rsidR="009535D1" w:rsidRDefault="009535D1"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2645A781" w14:textId="77777777" w:rsidR="00A3414A" w:rsidRPr="00DF679C" w:rsidRDefault="00A3414A"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bookmarkEnd w:id="63"/>
    <w:p w14:paraId="60DC0573" w14:textId="78869E08" w:rsidR="009535D1" w:rsidRPr="00AD0D10" w:rsidRDefault="009535D1"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DOGAĐAJI OD UTJECAJA NA BUDUĆE POSLOVANJE</w:t>
      </w:r>
    </w:p>
    <w:p w14:paraId="5F703142" w14:textId="37D0937F" w:rsidR="003D3549" w:rsidRPr="00AD0D10" w:rsidRDefault="00EE3589" w:rsidP="009535D1">
      <w:pPr>
        <w:pStyle w:val="gmail-m4491034583220394703msonospacing"/>
        <w:jc w:val="both"/>
        <w:rPr>
          <w:rFonts w:asciiTheme="minorHAnsi" w:hAnsiTheme="minorHAnsi" w:cstheme="minorHAnsi"/>
          <w:sz w:val="24"/>
          <w:szCs w:val="24"/>
        </w:rPr>
      </w:pPr>
      <w:r w:rsidRPr="00AD0D10">
        <w:rPr>
          <w:rFonts w:asciiTheme="minorHAnsi" w:hAnsiTheme="minorHAnsi" w:cstheme="minorHAnsi"/>
          <w:sz w:val="24"/>
          <w:szCs w:val="24"/>
        </w:rPr>
        <w:t>U ožujku 2020. godine proglašena je pandemija bolesti COVID-19 uzrokovana virusom SARS-CoV-2 (koronavirus). Pandemija traje i u 2021. godini. Uprava društva predviđa da će pandemija imati utjecaj na poslovanje Društva i u 2021. godini, kako na smanjenje prihoda tako i na likvidnost te se poduzimaju aktivnosti oko prevladavanja navedenih rizika (kontrola rashoda te utroška vlastitih sredstava u financiranju ulaganja u nova osnovna sredstva radi zaštite likvidnosti Društva).</w:t>
      </w:r>
    </w:p>
    <w:p w14:paraId="4991CE77" w14:textId="77777777" w:rsidR="009535D1" w:rsidRPr="00DF679C" w:rsidRDefault="009535D1"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67431B89" w14:textId="337E8AA4" w:rsidR="00363492" w:rsidRDefault="00363492"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ODOBRENJE FINANCIJSKIH IZVJEŠTAJA</w:t>
      </w:r>
    </w:p>
    <w:p w14:paraId="18998382" w14:textId="77777777" w:rsidR="00AD0D10" w:rsidRPr="00AD0D10" w:rsidRDefault="00AD0D10" w:rsidP="00AD0D10">
      <w:pPr>
        <w:pStyle w:val="ListParagraph"/>
        <w:spacing w:after="0" w:line="240" w:lineRule="auto"/>
        <w:ind w:left="851" w:right="92"/>
        <w:jc w:val="both"/>
        <w:rPr>
          <w:rFonts w:ascii="Calibri" w:eastAsia="Times New Roman" w:hAnsi="Calibri" w:cs="Times New Roman"/>
          <w:b/>
          <w:bCs/>
          <w:iCs/>
          <w:sz w:val="24"/>
          <w:szCs w:val="24"/>
        </w:rPr>
      </w:pPr>
    </w:p>
    <w:p w14:paraId="18D35439" w14:textId="07262CFD" w:rsidR="00363492" w:rsidRPr="003442D8" w:rsidRDefault="00363492" w:rsidP="005533EE">
      <w:pPr>
        <w:spacing w:line="240" w:lineRule="auto"/>
        <w:jc w:val="both"/>
        <w:rPr>
          <w:sz w:val="24"/>
          <w:szCs w:val="24"/>
        </w:rPr>
      </w:pPr>
      <w:r w:rsidRPr="00A3414A">
        <w:rPr>
          <w:sz w:val="24"/>
          <w:szCs w:val="24"/>
        </w:rPr>
        <w:t xml:space="preserve">Financijski izvještaji </w:t>
      </w:r>
      <w:r w:rsidR="00CC3F2F" w:rsidRPr="00A3414A">
        <w:rPr>
          <w:sz w:val="24"/>
          <w:szCs w:val="24"/>
        </w:rPr>
        <w:t xml:space="preserve">odobreni su dana </w:t>
      </w:r>
      <w:r w:rsidR="00066314" w:rsidRPr="00A3414A">
        <w:rPr>
          <w:sz w:val="24"/>
          <w:szCs w:val="24"/>
        </w:rPr>
        <w:t>3</w:t>
      </w:r>
      <w:r w:rsidR="00A3414A" w:rsidRPr="00A3414A">
        <w:rPr>
          <w:sz w:val="24"/>
          <w:szCs w:val="24"/>
        </w:rPr>
        <w:t>1</w:t>
      </w:r>
      <w:r w:rsidR="005B13DF" w:rsidRPr="00A3414A">
        <w:rPr>
          <w:sz w:val="24"/>
          <w:szCs w:val="24"/>
        </w:rPr>
        <w:t xml:space="preserve">. </w:t>
      </w:r>
      <w:r w:rsidR="00A3414A" w:rsidRPr="00A3414A">
        <w:rPr>
          <w:sz w:val="24"/>
          <w:szCs w:val="24"/>
        </w:rPr>
        <w:t>svib</w:t>
      </w:r>
      <w:r w:rsidR="005B13DF" w:rsidRPr="00A3414A">
        <w:rPr>
          <w:sz w:val="24"/>
          <w:szCs w:val="24"/>
        </w:rPr>
        <w:t xml:space="preserve">nja </w:t>
      </w:r>
      <w:r w:rsidR="00CC3F2F" w:rsidRPr="00A3414A">
        <w:rPr>
          <w:sz w:val="24"/>
          <w:szCs w:val="24"/>
        </w:rPr>
        <w:t>202</w:t>
      </w:r>
      <w:r w:rsidR="00066314" w:rsidRPr="00A3414A">
        <w:rPr>
          <w:sz w:val="24"/>
          <w:szCs w:val="24"/>
        </w:rPr>
        <w:t>1</w:t>
      </w:r>
      <w:r w:rsidRPr="00A3414A">
        <w:rPr>
          <w:sz w:val="24"/>
          <w:szCs w:val="24"/>
        </w:rPr>
        <w:t>. godine.</w:t>
      </w:r>
    </w:p>
    <w:p w14:paraId="72411FC4" w14:textId="77777777" w:rsidR="003D46C6" w:rsidRDefault="00363492" w:rsidP="003D46C6">
      <w:pPr>
        <w:tabs>
          <w:tab w:val="left" w:pos="7095"/>
        </w:tabs>
        <w:ind w:left="3540"/>
        <w:jc w:val="center"/>
        <w:rPr>
          <w:sz w:val="24"/>
          <w:szCs w:val="24"/>
        </w:rPr>
      </w:pPr>
      <w:r w:rsidRPr="003442D8">
        <w:rPr>
          <w:sz w:val="24"/>
          <w:szCs w:val="24"/>
        </w:rPr>
        <w:t>Uprava Društva:</w:t>
      </w:r>
    </w:p>
    <w:p w14:paraId="64D92BEC" w14:textId="66BC77F8" w:rsidR="003D2E77" w:rsidRPr="003D46C6" w:rsidRDefault="00363492" w:rsidP="003D46C6">
      <w:pPr>
        <w:tabs>
          <w:tab w:val="left" w:pos="7095"/>
        </w:tabs>
        <w:ind w:left="3540"/>
        <w:jc w:val="center"/>
        <w:rPr>
          <w:sz w:val="24"/>
          <w:szCs w:val="24"/>
        </w:rPr>
      </w:pPr>
      <w:r w:rsidRPr="003442D8">
        <w:rPr>
          <w:sz w:val="24"/>
          <w:szCs w:val="24"/>
        </w:rPr>
        <w:t>mr.sc. Ivica Plišić, dipl.ing.građ</w:t>
      </w:r>
    </w:p>
    <w:p w14:paraId="7A76DC1D" w14:textId="77777777" w:rsidR="003D2E77" w:rsidRDefault="003D2E77" w:rsidP="00BC0301">
      <w:pPr>
        <w:jc w:val="center"/>
        <w:rPr>
          <w:b/>
          <w:bCs/>
          <w:iCs/>
          <w:sz w:val="28"/>
          <w:szCs w:val="28"/>
          <w:highlight w:val="yellow"/>
        </w:rPr>
      </w:pPr>
    </w:p>
    <w:p w14:paraId="3CE74D81" w14:textId="77777777" w:rsidR="003D2E77" w:rsidRDefault="003D2E77" w:rsidP="00BC0301">
      <w:pPr>
        <w:jc w:val="center"/>
        <w:rPr>
          <w:b/>
          <w:bCs/>
          <w:iCs/>
          <w:sz w:val="28"/>
          <w:szCs w:val="28"/>
          <w:highlight w:val="yellow"/>
        </w:rPr>
      </w:pPr>
    </w:p>
    <w:p w14:paraId="10952934" w14:textId="77777777" w:rsidR="003D2E77" w:rsidRDefault="003D2E77" w:rsidP="00BC0301">
      <w:pPr>
        <w:jc w:val="center"/>
        <w:rPr>
          <w:b/>
          <w:bCs/>
          <w:iCs/>
          <w:sz w:val="28"/>
          <w:szCs w:val="28"/>
          <w:highlight w:val="yellow"/>
        </w:rPr>
      </w:pPr>
    </w:p>
    <w:p w14:paraId="455A737A" w14:textId="77777777" w:rsidR="003D2E77" w:rsidRDefault="003D2E77" w:rsidP="00BC0301">
      <w:pPr>
        <w:jc w:val="center"/>
        <w:rPr>
          <w:b/>
          <w:bCs/>
          <w:iCs/>
          <w:sz w:val="28"/>
          <w:szCs w:val="28"/>
          <w:highlight w:val="yellow"/>
        </w:rPr>
      </w:pPr>
    </w:p>
    <w:p w14:paraId="3A0CE304" w14:textId="77777777" w:rsidR="00363492" w:rsidRPr="005135AA" w:rsidRDefault="00363492" w:rsidP="00BC0301">
      <w:pPr>
        <w:jc w:val="center"/>
        <w:rPr>
          <w:iCs/>
        </w:rPr>
      </w:pPr>
      <w:r w:rsidRPr="005135AA">
        <w:rPr>
          <w:b/>
          <w:bCs/>
          <w:iCs/>
          <w:sz w:val="28"/>
          <w:szCs w:val="28"/>
        </w:rPr>
        <w:t>DOPUNSKE INFORMACIJE</w:t>
      </w:r>
    </w:p>
    <w:p w14:paraId="1B6DE62C" w14:textId="77777777" w:rsidR="00363492" w:rsidRPr="005135AA" w:rsidRDefault="00363492" w:rsidP="00363492">
      <w:pPr>
        <w:ind w:right="92"/>
        <w:jc w:val="center"/>
        <w:rPr>
          <w:b/>
          <w:bCs/>
          <w:iCs/>
          <w:sz w:val="28"/>
          <w:szCs w:val="28"/>
        </w:rPr>
      </w:pPr>
    </w:p>
    <w:p w14:paraId="6223F807" w14:textId="77777777" w:rsidR="00363492" w:rsidRPr="005135AA" w:rsidRDefault="00363492" w:rsidP="00363492">
      <w:pPr>
        <w:ind w:right="92"/>
        <w:jc w:val="center"/>
        <w:rPr>
          <w:b/>
          <w:bCs/>
          <w:iCs/>
          <w:sz w:val="28"/>
          <w:szCs w:val="28"/>
        </w:rPr>
      </w:pPr>
    </w:p>
    <w:p w14:paraId="18EF20C7" w14:textId="64AA9F3A" w:rsidR="00363492" w:rsidRPr="005135AA" w:rsidRDefault="00363492" w:rsidP="00F8554F">
      <w:pPr>
        <w:numPr>
          <w:ilvl w:val="0"/>
          <w:numId w:val="5"/>
        </w:numPr>
        <w:spacing w:after="0" w:line="240" w:lineRule="auto"/>
        <w:ind w:right="92"/>
        <w:jc w:val="center"/>
        <w:rPr>
          <w:b/>
          <w:bCs/>
          <w:iCs/>
          <w:sz w:val="28"/>
          <w:szCs w:val="28"/>
        </w:rPr>
      </w:pPr>
      <w:r w:rsidRPr="005135AA">
        <w:rPr>
          <w:b/>
          <w:bCs/>
          <w:iCs/>
          <w:sz w:val="28"/>
          <w:szCs w:val="28"/>
        </w:rPr>
        <w:t>pregled dugoročnih kredita na dan 31.</w:t>
      </w:r>
      <w:r w:rsidR="004523B2" w:rsidRPr="005135AA">
        <w:rPr>
          <w:b/>
          <w:bCs/>
          <w:iCs/>
          <w:sz w:val="28"/>
          <w:szCs w:val="28"/>
        </w:rPr>
        <w:t>12.20</w:t>
      </w:r>
      <w:r w:rsidR="00A64628" w:rsidRPr="005135AA">
        <w:rPr>
          <w:b/>
          <w:bCs/>
          <w:iCs/>
          <w:sz w:val="28"/>
          <w:szCs w:val="28"/>
        </w:rPr>
        <w:t>20</w:t>
      </w:r>
      <w:r w:rsidRPr="005135AA">
        <w:rPr>
          <w:b/>
          <w:bCs/>
          <w:iCs/>
          <w:sz w:val="28"/>
          <w:szCs w:val="28"/>
        </w:rPr>
        <w:t>.</w:t>
      </w:r>
    </w:p>
    <w:p w14:paraId="28C92BEA" w14:textId="77777777" w:rsidR="00363492" w:rsidRPr="0088668E" w:rsidRDefault="00363492" w:rsidP="00363492">
      <w:pPr>
        <w:ind w:right="92"/>
        <w:jc w:val="center"/>
        <w:rPr>
          <w:sz w:val="28"/>
          <w:szCs w:val="28"/>
        </w:rPr>
      </w:pPr>
    </w:p>
    <w:p w14:paraId="48A67DA2" w14:textId="77777777" w:rsidR="00363492" w:rsidRPr="0088668E" w:rsidRDefault="00363492" w:rsidP="00363492">
      <w:pPr>
        <w:ind w:right="92"/>
        <w:jc w:val="center"/>
        <w:rPr>
          <w:sz w:val="28"/>
          <w:szCs w:val="28"/>
        </w:rPr>
      </w:pPr>
    </w:p>
    <w:p w14:paraId="362E9096" w14:textId="77777777" w:rsidR="00363492" w:rsidRPr="0088668E" w:rsidRDefault="00363492" w:rsidP="00363492">
      <w:pPr>
        <w:ind w:right="92"/>
        <w:jc w:val="center"/>
        <w:rPr>
          <w:sz w:val="28"/>
          <w:szCs w:val="28"/>
        </w:rPr>
      </w:pPr>
    </w:p>
    <w:p w14:paraId="336D9113" w14:textId="77777777" w:rsidR="00363492" w:rsidRPr="0088668E" w:rsidRDefault="00363492" w:rsidP="00363492">
      <w:pPr>
        <w:ind w:right="92"/>
        <w:jc w:val="center"/>
        <w:rPr>
          <w:sz w:val="28"/>
          <w:szCs w:val="28"/>
        </w:rPr>
      </w:pPr>
    </w:p>
    <w:p w14:paraId="0D6363CA" w14:textId="77777777" w:rsidR="00363492" w:rsidRDefault="00363492" w:rsidP="00E25EA8">
      <w:pPr>
        <w:ind w:right="92"/>
        <w:rPr>
          <w:sz w:val="28"/>
          <w:szCs w:val="28"/>
        </w:rPr>
      </w:pPr>
    </w:p>
    <w:p w14:paraId="38F806B6" w14:textId="77777777" w:rsidR="00E25EA8" w:rsidRDefault="00E25EA8" w:rsidP="00E25EA8">
      <w:pPr>
        <w:ind w:right="92"/>
        <w:rPr>
          <w:sz w:val="28"/>
          <w:szCs w:val="28"/>
        </w:rPr>
      </w:pPr>
    </w:p>
    <w:p w14:paraId="1E265527" w14:textId="77777777" w:rsidR="00E25EA8" w:rsidRDefault="00E25EA8" w:rsidP="00E25EA8">
      <w:pPr>
        <w:ind w:right="92"/>
        <w:rPr>
          <w:sz w:val="28"/>
          <w:szCs w:val="28"/>
        </w:rPr>
      </w:pPr>
    </w:p>
    <w:p w14:paraId="3F9D7543" w14:textId="77777777" w:rsidR="00E25EA8" w:rsidRDefault="00E25EA8" w:rsidP="00E25EA8">
      <w:pPr>
        <w:ind w:right="92"/>
        <w:rPr>
          <w:sz w:val="28"/>
          <w:szCs w:val="28"/>
        </w:rPr>
      </w:pPr>
    </w:p>
    <w:p w14:paraId="16A858BE" w14:textId="77777777" w:rsidR="00E25EA8" w:rsidRDefault="00E25EA8" w:rsidP="00E25EA8">
      <w:pPr>
        <w:ind w:right="92"/>
        <w:rPr>
          <w:sz w:val="28"/>
          <w:szCs w:val="28"/>
        </w:rPr>
      </w:pPr>
    </w:p>
    <w:p w14:paraId="53613CDA" w14:textId="77777777" w:rsidR="00E25EA8" w:rsidRDefault="00E25EA8" w:rsidP="00E25EA8">
      <w:pPr>
        <w:ind w:right="92"/>
        <w:rPr>
          <w:sz w:val="28"/>
          <w:szCs w:val="28"/>
        </w:rPr>
      </w:pPr>
    </w:p>
    <w:p w14:paraId="54684A24" w14:textId="77777777" w:rsidR="00E25EA8" w:rsidRDefault="00E25EA8" w:rsidP="00E25EA8">
      <w:pPr>
        <w:ind w:right="92"/>
        <w:rPr>
          <w:sz w:val="28"/>
          <w:szCs w:val="28"/>
        </w:rPr>
      </w:pPr>
    </w:p>
    <w:p w14:paraId="3FF123D7" w14:textId="77777777" w:rsidR="00E25EA8" w:rsidRDefault="00E25EA8" w:rsidP="00E25EA8">
      <w:pPr>
        <w:ind w:right="92"/>
        <w:rPr>
          <w:sz w:val="28"/>
          <w:szCs w:val="28"/>
        </w:rPr>
      </w:pPr>
    </w:p>
    <w:p w14:paraId="20F8C400" w14:textId="77777777" w:rsidR="00E25EA8" w:rsidRDefault="00E25EA8" w:rsidP="00E25EA8">
      <w:pPr>
        <w:ind w:right="92"/>
        <w:rPr>
          <w:sz w:val="28"/>
          <w:szCs w:val="28"/>
        </w:rPr>
      </w:pPr>
    </w:p>
    <w:p w14:paraId="02840620" w14:textId="77777777" w:rsidR="00E25EA8" w:rsidRDefault="00E25EA8" w:rsidP="00E25EA8">
      <w:pPr>
        <w:spacing w:line="240" w:lineRule="auto"/>
        <w:jc w:val="both"/>
        <w:rPr>
          <w:sz w:val="28"/>
          <w:szCs w:val="28"/>
        </w:rPr>
        <w:sectPr w:rsidR="00E25EA8" w:rsidSect="0044069A">
          <w:headerReference w:type="default" r:id="rId35"/>
          <w:footerReference w:type="default" r:id="rId36"/>
          <w:pgSz w:w="11906" w:h="16838"/>
          <w:pgMar w:top="1417" w:right="1417" w:bottom="1417" w:left="1417" w:header="708" w:footer="708" w:gutter="0"/>
          <w:cols w:space="708"/>
          <w:docGrid w:linePitch="360"/>
        </w:sectPr>
      </w:pPr>
    </w:p>
    <w:p w14:paraId="1DEBB01A" w14:textId="0369BA7F" w:rsidR="00AE6AE1" w:rsidRDefault="00D55A26" w:rsidP="00E25EA8">
      <w:pPr>
        <w:spacing w:line="240" w:lineRule="auto"/>
        <w:jc w:val="both"/>
        <w:rPr>
          <w:sz w:val="28"/>
          <w:szCs w:val="28"/>
        </w:rPr>
      </w:pPr>
      <w:r w:rsidRPr="00D55A26">
        <w:rPr>
          <w:noProof/>
        </w:rPr>
        <w:lastRenderedPageBreak/>
        <w:drawing>
          <wp:inline distT="0" distB="0" distL="0" distR="0" wp14:anchorId="6A12781B" wp14:editId="699091F3">
            <wp:extent cx="9114125" cy="477794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140810" cy="4791935"/>
                    </a:xfrm>
                    <a:prstGeom prst="rect">
                      <a:avLst/>
                    </a:prstGeom>
                    <a:noFill/>
                    <a:ln>
                      <a:noFill/>
                    </a:ln>
                  </pic:spPr>
                </pic:pic>
              </a:graphicData>
            </a:graphic>
          </wp:inline>
        </w:drawing>
      </w:r>
    </w:p>
    <w:p w14:paraId="75CF8AF2" w14:textId="0543A5D9" w:rsidR="00E25EA8" w:rsidRPr="005D2DEC" w:rsidRDefault="00E25EA8" w:rsidP="00E25EA8">
      <w:pPr>
        <w:spacing w:line="240" w:lineRule="auto"/>
        <w:jc w:val="both"/>
        <w:rPr>
          <w:b/>
        </w:rPr>
      </w:pPr>
    </w:p>
    <w:sectPr w:rsidR="00E25EA8" w:rsidRPr="005D2DEC" w:rsidSect="00E25EA8">
      <w:headerReference w:type="default" r:id="rId38"/>
      <w:footerReference w:type="default" r:id="rId3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E6BB" w14:textId="77777777" w:rsidR="00BC29FB" w:rsidRDefault="00BC29FB" w:rsidP="00945512">
      <w:pPr>
        <w:spacing w:after="0" w:line="240" w:lineRule="auto"/>
      </w:pPr>
      <w:r>
        <w:separator/>
      </w:r>
    </w:p>
  </w:endnote>
  <w:endnote w:type="continuationSeparator" w:id="0">
    <w:p w14:paraId="6E7766B2" w14:textId="77777777" w:rsidR="00BC29FB" w:rsidRDefault="00BC29FB"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147D" w14:textId="77777777" w:rsidR="008F72C9" w:rsidRDefault="008F72C9" w:rsidP="00E25EA8">
    <w:pPr>
      <w:pStyle w:val="Footer"/>
      <w:rPr>
        <w:sz w:val="20"/>
      </w:rPr>
    </w:pPr>
  </w:p>
  <w:p w14:paraId="42B0B2A9" w14:textId="77777777" w:rsidR="008F72C9" w:rsidRPr="00D3363F" w:rsidRDefault="00BC29FB" w:rsidP="00E25EA8">
    <w:pPr>
      <w:pStyle w:val="Footer"/>
      <w:rPr>
        <w:sz w:val="20"/>
        <w:szCs w:val="20"/>
      </w:rPr>
    </w:pPr>
    <w:sdt>
      <w:sdtPr>
        <w:id w:val="-1531873330"/>
        <w:docPartObj>
          <w:docPartGallery w:val="Page Numbers (Bottom of Page)"/>
          <w:docPartUnique/>
        </w:docPartObj>
      </w:sdtPr>
      <w:sdtEndPr>
        <w:rPr>
          <w:sz w:val="20"/>
          <w:szCs w:val="20"/>
        </w:rPr>
      </w:sdtEndPr>
      <w:sdtContent>
        <w:r w:rsidR="008F72C9">
          <w:tab/>
        </w:r>
        <w:r w:rsidR="008F72C9">
          <w:tab/>
        </w:r>
        <w:r w:rsidR="008F72C9" w:rsidRPr="00D3363F">
          <w:rPr>
            <w:sz w:val="20"/>
            <w:szCs w:val="20"/>
          </w:rPr>
          <w:fldChar w:fldCharType="begin"/>
        </w:r>
        <w:r w:rsidR="008F72C9" w:rsidRPr="00D3363F">
          <w:rPr>
            <w:sz w:val="20"/>
            <w:szCs w:val="20"/>
          </w:rPr>
          <w:instrText>PAGE   \* MERGEFORMAT</w:instrText>
        </w:r>
        <w:r w:rsidR="008F72C9" w:rsidRPr="00D3363F">
          <w:rPr>
            <w:sz w:val="20"/>
            <w:szCs w:val="20"/>
          </w:rPr>
          <w:fldChar w:fldCharType="separate"/>
        </w:r>
        <w:r w:rsidR="008F72C9">
          <w:rPr>
            <w:noProof/>
            <w:sz w:val="20"/>
            <w:szCs w:val="20"/>
          </w:rPr>
          <w:t>12</w:t>
        </w:r>
        <w:r w:rsidR="008F72C9" w:rsidRPr="00D3363F">
          <w:rPr>
            <w:sz w:val="20"/>
            <w:szCs w:val="20"/>
          </w:rPr>
          <w:fldChar w:fldCharType="end"/>
        </w:r>
      </w:sdtContent>
    </w:sdt>
  </w:p>
  <w:p w14:paraId="0FC2E087" w14:textId="77777777" w:rsidR="008F72C9" w:rsidRDefault="008F7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7C70" w14:textId="77777777" w:rsidR="008F72C9" w:rsidRDefault="008F72C9" w:rsidP="00E25EA8">
    <w:pPr>
      <w:pStyle w:val="Footer"/>
      <w:rPr>
        <w:sz w:val="20"/>
      </w:rPr>
    </w:pPr>
  </w:p>
  <w:p w14:paraId="231DAFF4" w14:textId="77777777" w:rsidR="008F72C9" w:rsidRPr="00D3363F" w:rsidRDefault="00BC29FB" w:rsidP="00E25EA8">
    <w:pPr>
      <w:pStyle w:val="Footer"/>
      <w:rPr>
        <w:sz w:val="20"/>
        <w:szCs w:val="20"/>
      </w:rPr>
    </w:pPr>
    <w:sdt>
      <w:sdtPr>
        <w:id w:val="427397312"/>
        <w:docPartObj>
          <w:docPartGallery w:val="Page Numbers (Bottom of Page)"/>
          <w:docPartUnique/>
        </w:docPartObj>
      </w:sdtPr>
      <w:sdtEndPr>
        <w:rPr>
          <w:sz w:val="20"/>
          <w:szCs w:val="20"/>
        </w:rPr>
      </w:sdtEndPr>
      <w:sdtContent>
        <w:r w:rsidR="008F72C9">
          <w:tab/>
        </w:r>
        <w:r w:rsidR="008F72C9">
          <w:tab/>
        </w:r>
        <w:r w:rsidR="008F72C9">
          <w:tab/>
        </w:r>
        <w:r w:rsidR="008F72C9">
          <w:tab/>
        </w:r>
        <w:r w:rsidR="008F72C9">
          <w:tab/>
        </w:r>
        <w:r w:rsidR="008F72C9">
          <w:tab/>
        </w:r>
        <w:r w:rsidR="008F72C9">
          <w:tab/>
        </w:r>
        <w:r w:rsidR="008F72C9">
          <w:tab/>
        </w:r>
        <w:r w:rsidR="008F72C9">
          <w:tab/>
        </w:r>
        <w:r w:rsidR="008F72C9" w:rsidRPr="00D3363F">
          <w:rPr>
            <w:sz w:val="20"/>
            <w:szCs w:val="20"/>
          </w:rPr>
          <w:fldChar w:fldCharType="begin"/>
        </w:r>
        <w:r w:rsidR="008F72C9" w:rsidRPr="00D3363F">
          <w:rPr>
            <w:sz w:val="20"/>
            <w:szCs w:val="20"/>
          </w:rPr>
          <w:instrText>PAGE   \* MERGEFORMAT</w:instrText>
        </w:r>
        <w:r w:rsidR="008F72C9" w:rsidRPr="00D3363F">
          <w:rPr>
            <w:sz w:val="20"/>
            <w:szCs w:val="20"/>
          </w:rPr>
          <w:fldChar w:fldCharType="separate"/>
        </w:r>
        <w:r w:rsidR="008F72C9">
          <w:rPr>
            <w:noProof/>
            <w:sz w:val="20"/>
            <w:szCs w:val="20"/>
          </w:rPr>
          <w:t>13</w:t>
        </w:r>
        <w:r w:rsidR="008F72C9" w:rsidRPr="00D3363F">
          <w:rPr>
            <w:sz w:val="20"/>
            <w:szCs w:val="20"/>
          </w:rPr>
          <w:fldChar w:fldCharType="end"/>
        </w:r>
      </w:sdtContent>
    </w:sdt>
  </w:p>
  <w:p w14:paraId="44F3E042" w14:textId="77777777" w:rsidR="008F72C9" w:rsidRDefault="008F7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22501"/>
      <w:docPartObj>
        <w:docPartGallery w:val="Page Numbers (Bottom of Page)"/>
        <w:docPartUnique/>
      </w:docPartObj>
    </w:sdtPr>
    <w:sdtEndPr/>
    <w:sdtContent>
      <w:p w14:paraId="045EC7E6" w14:textId="77777777" w:rsidR="008F72C9" w:rsidRDefault="008F72C9">
        <w:pPr>
          <w:pStyle w:val="Footer"/>
          <w:jc w:val="right"/>
        </w:pPr>
        <w:r>
          <w:fldChar w:fldCharType="begin"/>
        </w:r>
        <w:r>
          <w:instrText>PAGE   \* MERGEFORMAT</w:instrText>
        </w:r>
        <w:r>
          <w:fldChar w:fldCharType="separate"/>
        </w:r>
        <w:r>
          <w:rPr>
            <w:noProof/>
          </w:rPr>
          <w:t>29</w:t>
        </w:r>
        <w:r>
          <w:fldChar w:fldCharType="end"/>
        </w:r>
      </w:p>
    </w:sdtContent>
  </w:sdt>
  <w:p w14:paraId="4327852B" w14:textId="77777777" w:rsidR="008F72C9" w:rsidRDefault="008F72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End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D707" w14:textId="77777777" w:rsidR="00BC29FB" w:rsidRDefault="00BC29FB" w:rsidP="00945512">
      <w:pPr>
        <w:spacing w:after="0" w:line="240" w:lineRule="auto"/>
      </w:pPr>
      <w:r>
        <w:separator/>
      </w:r>
    </w:p>
  </w:footnote>
  <w:footnote w:type="continuationSeparator" w:id="0">
    <w:p w14:paraId="53AC0FFD" w14:textId="77777777" w:rsidR="00BC29FB" w:rsidRDefault="00BC29FB"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216D" w14:textId="77777777" w:rsidR="008F72C9" w:rsidRDefault="008F72C9" w:rsidP="003442D8">
    <w:pPr>
      <w:spacing w:after="0" w:line="240" w:lineRule="auto"/>
      <w:jc w:val="center"/>
      <w:rPr>
        <w:rFonts w:ascii="Calibri" w:eastAsia="Times New Roman" w:hAnsi="Calibri" w:cs="Calibri"/>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C73F" w14:textId="77777777" w:rsidR="008F72C9" w:rsidRDefault="008F7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CD612B0"/>
    <w:multiLevelType w:val="hybridMultilevel"/>
    <w:tmpl w:val="22684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C36ACB"/>
    <w:multiLevelType w:val="hybridMultilevel"/>
    <w:tmpl w:val="1CD6C802"/>
    <w:lvl w:ilvl="0" w:tplc="69E2835E">
      <w:start w:val="1"/>
      <w:numFmt w:val="lowerLetter"/>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6A1C8A"/>
    <w:multiLevelType w:val="hybridMultilevel"/>
    <w:tmpl w:val="377AB6C6"/>
    <w:lvl w:ilvl="0" w:tplc="E1B225EA">
      <w:numFmt w:val="bullet"/>
      <w:lvlText w:val="-"/>
      <w:lvlJc w:val="left"/>
      <w:pPr>
        <w:ind w:left="1080" w:hanging="720"/>
      </w:pPr>
      <w:rPr>
        <w:rFonts w:ascii="Calibri" w:eastAsia="Times New Roman" w:hAnsi="Calibri"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D33573"/>
    <w:multiLevelType w:val="hybridMultilevel"/>
    <w:tmpl w:val="A23A378A"/>
    <w:lvl w:ilvl="0" w:tplc="34C23D0E">
      <w:start w:val="1"/>
      <w:numFmt w:val="low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A32D0B"/>
    <w:multiLevelType w:val="hybridMultilevel"/>
    <w:tmpl w:val="C950A9F0"/>
    <w:lvl w:ilvl="0" w:tplc="6EFAC8CC">
      <w:start w:val="1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CD068CF"/>
    <w:multiLevelType w:val="hybridMultilevel"/>
    <w:tmpl w:val="75582FCE"/>
    <w:lvl w:ilvl="0" w:tplc="CA3619F6">
      <w:start w:val="1"/>
      <w:numFmt w:val="lowerLetter"/>
      <w:lvlText w:val="%1)"/>
      <w:lvlJc w:val="left"/>
      <w:pPr>
        <w:ind w:left="720" w:hanging="360"/>
      </w:pPr>
      <w:rPr>
        <w:rFonts w:cs="Times New Roman" w:hint="default"/>
        <w:b/>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BF2375"/>
    <w:multiLevelType w:val="multilevel"/>
    <w:tmpl w:val="888E219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5B61E6"/>
    <w:multiLevelType w:val="multilevel"/>
    <w:tmpl w:val="1BCE26A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2E3456"/>
    <w:multiLevelType w:val="hybridMultilevel"/>
    <w:tmpl w:val="427A96CE"/>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C8261D"/>
    <w:multiLevelType w:val="hybridMultilevel"/>
    <w:tmpl w:val="454E12D6"/>
    <w:lvl w:ilvl="0" w:tplc="90349CC4">
      <w:start w:val="1"/>
      <w:numFmt w:val="lowerRoman"/>
      <w:lvlText w:val="%1)"/>
      <w:lvlJc w:val="left"/>
      <w:pPr>
        <w:ind w:left="1080" w:hanging="720"/>
      </w:pPr>
      <w:rPr>
        <w:rFonts w:hint="default"/>
        <w:b/>
      </w:rPr>
    </w:lvl>
    <w:lvl w:ilvl="1" w:tplc="DD9C2566">
      <w:start w:val="1"/>
      <w:numFmt w:val="lowerLetter"/>
      <w:lvlText w:val="%2)"/>
      <w:lvlJc w:val="left"/>
      <w:pPr>
        <w:ind w:left="1785" w:hanging="705"/>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972BF2"/>
    <w:multiLevelType w:val="multilevel"/>
    <w:tmpl w:val="C9C63AC0"/>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AB56EDF"/>
    <w:multiLevelType w:val="hybridMultilevel"/>
    <w:tmpl w:val="F7AE5C58"/>
    <w:lvl w:ilvl="0" w:tplc="07EA162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01E73F8"/>
    <w:multiLevelType w:val="hybridMultilevel"/>
    <w:tmpl w:val="7B223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954D39"/>
    <w:multiLevelType w:val="hybridMultilevel"/>
    <w:tmpl w:val="8C0AC39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9" w15:restartNumberingAfterBreak="0">
    <w:nsid w:val="7B640041"/>
    <w:multiLevelType w:val="multilevel"/>
    <w:tmpl w:val="C9C63AC0"/>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6"/>
  </w:num>
  <w:num w:numId="4">
    <w:abstractNumId w:val="14"/>
  </w:num>
  <w:num w:numId="5">
    <w:abstractNumId w:val="18"/>
  </w:num>
  <w:num w:numId="6">
    <w:abstractNumId w:val="15"/>
  </w:num>
  <w:num w:numId="7">
    <w:abstractNumId w:val="11"/>
  </w:num>
  <w:num w:numId="8">
    <w:abstractNumId w:val="12"/>
  </w:num>
  <w:num w:numId="9">
    <w:abstractNumId w:val="2"/>
  </w:num>
  <w:num w:numId="10">
    <w:abstractNumId w:val="4"/>
  </w:num>
  <w:num w:numId="11">
    <w:abstractNumId w:val="17"/>
  </w:num>
  <w:num w:numId="12">
    <w:abstractNumId w:val="19"/>
  </w:num>
  <w:num w:numId="13">
    <w:abstractNumId w:val="10"/>
  </w:num>
  <w:num w:numId="14">
    <w:abstractNumId w:val="3"/>
  </w:num>
  <w:num w:numId="15">
    <w:abstractNumId w:val="1"/>
  </w:num>
  <w:num w:numId="16">
    <w:abstractNumId w:val="16"/>
  </w:num>
  <w:num w:numId="17">
    <w:abstractNumId w:val="13"/>
  </w:num>
  <w:num w:numId="18">
    <w:abstractNumId w:val="9"/>
  </w:num>
  <w:num w:numId="19">
    <w:abstractNumId w:val="8"/>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424"/>
    <w:rsid w:val="00001401"/>
    <w:rsid w:val="00004A2E"/>
    <w:rsid w:val="000144E4"/>
    <w:rsid w:val="00021292"/>
    <w:rsid w:val="00022173"/>
    <w:rsid w:val="00033A1E"/>
    <w:rsid w:val="0004072E"/>
    <w:rsid w:val="00042EE0"/>
    <w:rsid w:val="00052B58"/>
    <w:rsid w:val="00061EA7"/>
    <w:rsid w:val="000648A9"/>
    <w:rsid w:val="00066314"/>
    <w:rsid w:val="00072FC4"/>
    <w:rsid w:val="000757E1"/>
    <w:rsid w:val="00080871"/>
    <w:rsid w:val="00080FB7"/>
    <w:rsid w:val="00086014"/>
    <w:rsid w:val="00090FC2"/>
    <w:rsid w:val="00097693"/>
    <w:rsid w:val="00097C47"/>
    <w:rsid w:val="000A6FC0"/>
    <w:rsid w:val="000A79A4"/>
    <w:rsid w:val="000B022B"/>
    <w:rsid w:val="000C0509"/>
    <w:rsid w:val="000C3929"/>
    <w:rsid w:val="000C5329"/>
    <w:rsid w:val="000D0C49"/>
    <w:rsid w:val="000D568F"/>
    <w:rsid w:val="000E0974"/>
    <w:rsid w:val="000E599D"/>
    <w:rsid w:val="000E756C"/>
    <w:rsid w:val="000F6F05"/>
    <w:rsid w:val="001029C4"/>
    <w:rsid w:val="00104D84"/>
    <w:rsid w:val="00105203"/>
    <w:rsid w:val="001079E0"/>
    <w:rsid w:val="00111645"/>
    <w:rsid w:val="001176CD"/>
    <w:rsid w:val="00120DA6"/>
    <w:rsid w:val="0013131F"/>
    <w:rsid w:val="001337EF"/>
    <w:rsid w:val="00133964"/>
    <w:rsid w:val="00134ABF"/>
    <w:rsid w:val="001437E1"/>
    <w:rsid w:val="00143DE7"/>
    <w:rsid w:val="00152E8C"/>
    <w:rsid w:val="00160D74"/>
    <w:rsid w:val="00172296"/>
    <w:rsid w:val="00176742"/>
    <w:rsid w:val="001940EA"/>
    <w:rsid w:val="001B3F47"/>
    <w:rsid w:val="001C5609"/>
    <w:rsid w:val="001D4B62"/>
    <w:rsid w:val="001D5A3A"/>
    <w:rsid w:val="001D63F1"/>
    <w:rsid w:val="001E5986"/>
    <w:rsid w:val="001F456E"/>
    <w:rsid w:val="001F5C5D"/>
    <w:rsid w:val="001F6422"/>
    <w:rsid w:val="001F666C"/>
    <w:rsid w:val="00205649"/>
    <w:rsid w:val="002164E7"/>
    <w:rsid w:val="00216785"/>
    <w:rsid w:val="00217F55"/>
    <w:rsid w:val="00225155"/>
    <w:rsid w:val="00231F30"/>
    <w:rsid w:val="00237F78"/>
    <w:rsid w:val="00241F59"/>
    <w:rsid w:val="002455CA"/>
    <w:rsid w:val="00245BD2"/>
    <w:rsid w:val="00246CBE"/>
    <w:rsid w:val="0025083B"/>
    <w:rsid w:val="00251D8E"/>
    <w:rsid w:val="0025352F"/>
    <w:rsid w:val="00254072"/>
    <w:rsid w:val="0026007C"/>
    <w:rsid w:val="00264A2F"/>
    <w:rsid w:val="00266667"/>
    <w:rsid w:val="00275C6B"/>
    <w:rsid w:val="00280780"/>
    <w:rsid w:val="00284C0E"/>
    <w:rsid w:val="002871AE"/>
    <w:rsid w:val="00287CE9"/>
    <w:rsid w:val="002907B1"/>
    <w:rsid w:val="00292998"/>
    <w:rsid w:val="002970EF"/>
    <w:rsid w:val="002A3921"/>
    <w:rsid w:val="002A400B"/>
    <w:rsid w:val="002B103A"/>
    <w:rsid w:val="002C2945"/>
    <w:rsid w:val="002E4EF3"/>
    <w:rsid w:val="002E747F"/>
    <w:rsid w:val="002F346A"/>
    <w:rsid w:val="002F4DD6"/>
    <w:rsid w:val="002F5473"/>
    <w:rsid w:val="00310D0D"/>
    <w:rsid w:val="0031483B"/>
    <w:rsid w:val="00315735"/>
    <w:rsid w:val="0032388B"/>
    <w:rsid w:val="0033512A"/>
    <w:rsid w:val="00335D6C"/>
    <w:rsid w:val="003374E3"/>
    <w:rsid w:val="00342EBE"/>
    <w:rsid w:val="00343B24"/>
    <w:rsid w:val="003442D8"/>
    <w:rsid w:val="00361265"/>
    <w:rsid w:val="00362AE9"/>
    <w:rsid w:val="00362CAF"/>
    <w:rsid w:val="00363492"/>
    <w:rsid w:val="00364BFD"/>
    <w:rsid w:val="00367C7E"/>
    <w:rsid w:val="00372395"/>
    <w:rsid w:val="003735B7"/>
    <w:rsid w:val="003810BB"/>
    <w:rsid w:val="00383A04"/>
    <w:rsid w:val="003847B2"/>
    <w:rsid w:val="0038533A"/>
    <w:rsid w:val="003A0D9A"/>
    <w:rsid w:val="003A6BA3"/>
    <w:rsid w:val="003B6678"/>
    <w:rsid w:val="003C4061"/>
    <w:rsid w:val="003D2E77"/>
    <w:rsid w:val="003D3549"/>
    <w:rsid w:val="003D36C5"/>
    <w:rsid w:val="003D46C6"/>
    <w:rsid w:val="003D6E08"/>
    <w:rsid w:val="003E42A6"/>
    <w:rsid w:val="003E6C13"/>
    <w:rsid w:val="003F4C74"/>
    <w:rsid w:val="00411F4A"/>
    <w:rsid w:val="004229CA"/>
    <w:rsid w:val="00423291"/>
    <w:rsid w:val="00423A82"/>
    <w:rsid w:val="004262B3"/>
    <w:rsid w:val="00431AB9"/>
    <w:rsid w:val="004342C8"/>
    <w:rsid w:val="00437306"/>
    <w:rsid w:val="0044069A"/>
    <w:rsid w:val="004523B2"/>
    <w:rsid w:val="004550F8"/>
    <w:rsid w:val="00460F53"/>
    <w:rsid w:val="00463A0E"/>
    <w:rsid w:val="004641A9"/>
    <w:rsid w:val="00464CDA"/>
    <w:rsid w:val="00480BB0"/>
    <w:rsid w:val="00481577"/>
    <w:rsid w:val="004830C3"/>
    <w:rsid w:val="004921C5"/>
    <w:rsid w:val="00492276"/>
    <w:rsid w:val="00492DC7"/>
    <w:rsid w:val="004A2E1A"/>
    <w:rsid w:val="004A32A2"/>
    <w:rsid w:val="004A34D9"/>
    <w:rsid w:val="004A7E83"/>
    <w:rsid w:val="004C68DA"/>
    <w:rsid w:val="004C7A53"/>
    <w:rsid w:val="004D1BF4"/>
    <w:rsid w:val="004D26BB"/>
    <w:rsid w:val="004D5E13"/>
    <w:rsid w:val="004E377F"/>
    <w:rsid w:val="004E45B5"/>
    <w:rsid w:val="004F06CA"/>
    <w:rsid w:val="004F0A78"/>
    <w:rsid w:val="004F4F45"/>
    <w:rsid w:val="004F4F65"/>
    <w:rsid w:val="004F78F7"/>
    <w:rsid w:val="00504B81"/>
    <w:rsid w:val="0051102A"/>
    <w:rsid w:val="005135AA"/>
    <w:rsid w:val="00515ED6"/>
    <w:rsid w:val="0051605F"/>
    <w:rsid w:val="00521FFF"/>
    <w:rsid w:val="00523010"/>
    <w:rsid w:val="00524687"/>
    <w:rsid w:val="005246FC"/>
    <w:rsid w:val="0053495D"/>
    <w:rsid w:val="00534C8B"/>
    <w:rsid w:val="00537ED8"/>
    <w:rsid w:val="0055169F"/>
    <w:rsid w:val="00552FE3"/>
    <w:rsid w:val="005533EE"/>
    <w:rsid w:val="00556F78"/>
    <w:rsid w:val="00567E0A"/>
    <w:rsid w:val="00570883"/>
    <w:rsid w:val="00576BD9"/>
    <w:rsid w:val="00576DEB"/>
    <w:rsid w:val="005906B9"/>
    <w:rsid w:val="005933CC"/>
    <w:rsid w:val="005970EA"/>
    <w:rsid w:val="005A3655"/>
    <w:rsid w:val="005A3BDA"/>
    <w:rsid w:val="005B13DF"/>
    <w:rsid w:val="005C023B"/>
    <w:rsid w:val="005C7D48"/>
    <w:rsid w:val="005D2DEC"/>
    <w:rsid w:val="005D3FA3"/>
    <w:rsid w:val="005E0EA8"/>
    <w:rsid w:val="005E5B07"/>
    <w:rsid w:val="005E7F5E"/>
    <w:rsid w:val="005F191F"/>
    <w:rsid w:val="005F3B20"/>
    <w:rsid w:val="005F6527"/>
    <w:rsid w:val="005F6F7A"/>
    <w:rsid w:val="005F7922"/>
    <w:rsid w:val="0060157E"/>
    <w:rsid w:val="006019FE"/>
    <w:rsid w:val="00601F26"/>
    <w:rsid w:val="00610D89"/>
    <w:rsid w:val="0061547C"/>
    <w:rsid w:val="006166F0"/>
    <w:rsid w:val="00621227"/>
    <w:rsid w:val="00637AC4"/>
    <w:rsid w:val="00641094"/>
    <w:rsid w:val="00656030"/>
    <w:rsid w:val="00661D83"/>
    <w:rsid w:val="00664DF5"/>
    <w:rsid w:val="00667366"/>
    <w:rsid w:val="0067314F"/>
    <w:rsid w:val="00680A3B"/>
    <w:rsid w:val="006818DD"/>
    <w:rsid w:val="006860DA"/>
    <w:rsid w:val="006A1534"/>
    <w:rsid w:val="006A3BAA"/>
    <w:rsid w:val="006A406B"/>
    <w:rsid w:val="006B1B34"/>
    <w:rsid w:val="006B5D47"/>
    <w:rsid w:val="006C0CD9"/>
    <w:rsid w:val="006C10C5"/>
    <w:rsid w:val="006C4046"/>
    <w:rsid w:val="006D3374"/>
    <w:rsid w:val="006D6868"/>
    <w:rsid w:val="006E01E5"/>
    <w:rsid w:val="006E5EE2"/>
    <w:rsid w:val="006F4EA5"/>
    <w:rsid w:val="006F6EFB"/>
    <w:rsid w:val="00700508"/>
    <w:rsid w:val="007022F1"/>
    <w:rsid w:val="00710C46"/>
    <w:rsid w:val="00713FE6"/>
    <w:rsid w:val="007158E4"/>
    <w:rsid w:val="007166DF"/>
    <w:rsid w:val="007200B4"/>
    <w:rsid w:val="00725954"/>
    <w:rsid w:val="00726833"/>
    <w:rsid w:val="007327C7"/>
    <w:rsid w:val="00741703"/>
    <w:rsid w:val="00747169"/>
    <w:rsid w:val="00750647"/>
    <w:rsid w:val="007541DD"/>
    <w:rsid w:val="00754536"/>
    <w:rsid w:val="00756D1D"/>
    <w:rsid w:val="00782822"/>
    <w:rsid w:val="0078284D"/>
    <w:rsid w:val="0079343D"/>
    <w:rsid w:val="00793ECD"/>
    <w:rsid w:val="007A3808"/>
    <w:rsid w:val="007C0084"/>
    <w:rsid w:val="007D0CFC"/>
    <w:rsid w:val="007E0943"/>
    <w:rsid w:val="007F7DCA"/>
    <w:rsid w:val="00800F0C"/>
    <w:rsid w:val="008020D6"/>
    <w:rsid w:val="0080335D"/>
    <w:rsid w:val="00814A87"/>
    <w:rsid w:val="008166CA"/>
    <w:rsid w:val="008461AF"/>
    <w:rsid w:val="008466E0"/>
    <w:rsid w:val="00870CFB"/>
    <w:rsid w:val="0087334F"/>
    <w:rsid w:val="00876B85"/>
    <w:rsid w:val="008814D2"/>
    <w:rsid w:val="0088170F"/>
    <w:rsid w:val="00883749"/>
    <w:rsid w:val="00892582"/>
    <w:rsid w:val="00892D95"/>
    <w:rsid w:val="00896A24"/>
    <w:rsid w:val="008A4006"/>
    <w:rsid w:val="008B085A"/>
    <w:rsid w:val="008B089B"/>
    <w:rsid w:val="008B21E4"/>
    <w:rsid w:val="008D20D3"/>
    <w:rsid w:val="008E3101"/>
    <w:rsid w:val="008E560F"/>
    <w:rsid w:val="008E7DA9"/>
    <w:rsid w:val="008F425B"/>
    <w:rsid w:val="008F5E1F"/>
    <w:rsid w:val="008F72C9"/>
    <w:rsid w:val="008F772A"/>
    <w:rsid w:val="008F7CBF"/>
    <w:rsid w:val="00901994"/>
    <w:rsid w:val="0090202B"/>
    <w:rsid w:val="009024EA"/>
    <w:rsid w:val="0090333E"/>
    <w:rsid w:val="00903A4B"/>
    <w:rsid w:val="009048EB"/>
    <w:rsid w:val="0091274C"/>
    <w:rsid w:val="00913C08"/>
    <w:rsid w:val="009146FC"/>
    <w:rsid w:val="009157C6"/>
    <w:rsid w:val="00931175"/>
    <w:rsid w:val="009354C3"/>
    <w:rsid w:val="009407FF"/>
    <w:rsid w:val="009434B5"/>
    <w:rsid w:val="00945512"/>
    <w:rsid w:val="009528B2"/>
    <w:rsid w:val="009535D1"/>
    <w:rsid w:val="0096111B"/>
    <w:rsid w:val="00967AA0"/>
    <w:rsid w:val="009768B7"/>
    <w:rsid w:val="00981544"/>
    <w:rsid w:val="00983452"/>
    <w:rsid w:val="0098580D"/>
    <w:rsid w:val="00986BBF"/>
    <w:rsid w:val="00986F45"/>
    <w:rsid w:val="00996135"/>
    <w:rsid w:val="009A7E53"/>
    <w:rsid w:val="009B7FE2"/>
    <w:rsid w:val="009C6CF6"/>
    <w:rsid w:val="009D58D6"/>
    <w:rsid w:val="009E3411"/>
    <w:rsid w:val="009F29F9"/>
    <w:rsid w:val="009F411A"/>
    <w:rsid w:val="009F5F9C"/>
    <w:rsid w:val="00A0054F"/>
    <w:rsid w:val="00A11B3F"/>
    <w:rsid w:val="00A13525"/>
    <w:rsid w:val="00A152FD"/>
    <w:rsid w:val="00A271D1"/>
    <w:rsid w:val="00A3226D"/>
    <w:rsid w:val="00A3414A"/>
    <w:rsid w:val="00A3483A"/>
    <w:rsid w:val="00A4469A"/>
    <w:rsid w:val="00A60088"/>
    <w:rsid w:val="00A642B2"/>
    <w:rsid w:val="00A64628"/>
    <w:rsid w:val="00A67362"/>
    <w:rsid w:val="00A753E1"/>
    <w:rsid w:val="00A863EF"/>
    <w:rsid w:val="00A90B8A"/>
    <w:rsid w:val="00A91266"/>
    <w:rsid w:val="00A9377C"/>
    <w:rsid w:val="00AC167C"/>
    <w:rsid w:val="00AD0D10"/>
    <w:rsid w:val="00AD263A"/>
    <w:rsid w:val="00AD40DD"/>
    <w:rsid w:val="00AD63D5"/>
    <w:rsid w:val="00AD7EDA"/>
    <w:rsid w:val="00AE1820"/>
    <w:rsid w:val="00AE6AE1"/>
    <w:rsid w:val="00AF07A5"/>
    <w:rsid w:val="00AF604A"/>
    <w:rsid w:val="00AF74D2"/>
    <w:rsid w:val="00B05A0B"/>
    <w:rsid w:val="00B06239"/>
    <w:rsid w:val="00B11990"/>
    <w:rsid w:val="00B13C8C"/>
    <w:rsid w:val="00B152CB"/>
    <w:rsid w:val="00B220EE"/>
    <w:rsid w:val="00B248C2"/>
    <w:rsid w:val="00B2644D"/>
    <w:rsid w:val="00B31A4F"/>
    <w:rsid w:val="00B40852"/>
    <w:rsid w:val="00B45E5F"/>
    <w:rsid w:val="00B460BA"/>
    <w:rsid w:val="00B60279"/>
    <w:rsid w:val="00B71C93"/>
    <w:rsid w:val="00B840D3"/>
    <w:rsid w:val="00B85605"/>
    <w:rsid w:val="00B951FD"/>
    <w:rsid w:val="00BA0365"/>
    <w:rsid w:val="00BA18A5"/>
    <w:rsid w:val="00BA1DFC"/>
    <w:rsid w:val="00BA3ECA"/>
    <w:rsid w:val="00BB2DB5"/>
    <w:rsid w:val="00BB7EE3"/>
    <w:rsid w:val="00BC0301"/>
    <w:rsid w:val="00BC216C"/>
    <w:rsid w:val="00BC29FB"/>
    <w:rsid w:val="00BC6BBE"/>
    <w:rsid w:val="00BD745E"/>
    <w:rsid w:val="00BE39F7"/>
    <w:rsid w:val="00BE3B2D"/>
    <w:rsid w:val="00BE6C15"/>
    <w:rsid w:val="00C00B79"/>
    <w:rsid w:val="00C07CC1"/>
    <w:rsid w:val="00C13B8D"/>
    <w:rsid w:val="00C15873"/>
    <w:rsid w:val="00C15FEB"/>
    <w:rsid w:val="00C17027"/>
    <w:rsid w:val="00C320F2"/>
    <w:rsid w:val="00C3276C"/>
    <w:rsid w:val="00C329AF"/>
    <w:rsid w:val="00C36F60"/>
    <w:rsid w:val="00C4074E"/>
    <w:rsid w:val="00C41AD1"/>
    <w:rsid w:val="00C44C70"/>
    <w:rsid w:val="00C6142A"/>
    <w:rsid w:val="00C70EF4"/>
    <w:rsid w:val="00C7733E"/>
    <w:rsid w:val="00C81208"/>
    <w:rsid w:val="00C86430"/>
    <w:rsid w:val="00C90E98"/>
    <w:rsid w:val="00C9448D"/>
    <w:rsid w:val="00C960A5"/>
    <w:rsid w:val="00C97F93"/>
    <w:rsid w:val="00CB1601"/>
    <w:rsid w:val="00CB1ADE"/>
    <w:rsid w:val="00CB2FD0"/>
    <w:rsid w:val="00CC098C"/>
    <w:rsid w:val="00CC1B59"/>
    <w:rsid w:val="00CC3F2F"/>
    <w:rsid w:val="00CC4EC9"/>
    <w:rsid w:val="00CC5272"/>
    <w:rsid w:val="00CE5096"/>
    <w:rsid w:val="00CE606B"/>
    <w:rsid w:val="00CF23B7"/>
    <w:rsid w:val="00D25B4E"/>
    <w:rsid w:val="00D36B52"/>
    <w:rsid w:val="00D37221"/>
    <w:rsid w:val="00D378DD"/>
    <w:rsid w:val="00D404BA"/>
    <w:rsid w:val="00D52947"/>
    <w:rsid w:val="00D55A26"/>
    <w:rsid w:val="00D61D06"/>
    <w:rsid w:val="00D64F85"/>
    <w:rsid w:val="00D85371"/>
    <w:rsid w:val="00D854BC"/>
    <w:rsid w:val="00D90CF2"/>
    <w:rsid w:val="00DA2D5A"/>
    <w:rsid w:val="00DA369B"/>
    <w:rsid w:val="00DA404D"/>
    <w:rsid w:val="00DA52B8"/>
    <w:rsid w:val="00DA77F7"/>
    <w:rsid w:val="00DB7DF5"/>
    <w:rsid w:val="00DD16DF"/>
    <w:rsid w:val="00DD3799"/>
    <w:rsid w:val="00DD7B08"/>
    <w:rsid w:val="00DE01D4"/>
    <w:rsid w:val="00DE5D61"/>
    <w:rsid w:val="00DF4D35"/>
    <w:rsid w:val="00DF65A0"/>
    <w:rsid w:val="00DF679C"/>
    <w:rsid w:val="00DF694A"/>
    <w:rsid w:val="00E10FCB"/>
    <w:rsid w:val="00E168C2"/>
    <w:rsid w:val="00E218D7"/>
    <w:rsid w:val="00E22E11"/>
    <w:rsid w:val="00E25EA8"/>
    <w:rsid w:val="00E3106E"/>
    <w:rsid w:val="00E34BF0"/>
    <w:rsid w:val="00E35B85"/>
    <w:rsid w:val="00E3653C"/>
    <w:rsid w:val="00E37BB2"/>
    <w:rsid w:val="00E47152"/>
    <w:rsid w:val="00E542FE"/>
    <w:rsid w:val="00E6034B"/>
    <w:rsid w:val="00E6429D"/>
    <w:rsid w:val="00E707CF"/>
    <w:rsid w:val="00E74ED9"/>
    <w:rsid w:val="00E81805"/>
    <w:rsid w:val="00E87BA8"/>
    <w:rsid w:val="00E9303F"/>
    <w:rsid w:val="00E9626E"/>
    <w:rsid w:val="00EA2357"/>
    <w:rsid w:val="00EA3053"/>
    <w:rsid w:val="00EB7D11"/>
    <w:rsid w:val="00EC1ED8"/>
    <w:rsid w:val="00EC388A"/>
    <w:rsid w:val="00ED1DE8"/>
    <w:rsid w:val="00ED68BB"/>
    <w:rsid w:val="00EE3589"/>
    <w:rsid w:val="00EE6100"/>
    <w:rsid w:val="00EF64D3"/>
    <w:rsid w:val="00F0047C"/>
    <w:rsid w:val="00F05ED5"/>
    <w:rsid w:val="00F145A0"/>
    <w:rsid w:val="00F164B3"/>
    <w:rsid w:val="00F2139B"/>
    <w:rsid w:val="00F35572"/>
    <w:rsid w:val="00F42921"/>
    <w:rsid w:val="00F438A6"/>
    <w:rsid w:val="00F459FD"/>
    <w:rsid w:val="00F51E37"/>
    <w:rsid w:val="00F530CF"/>
    <w:rsid w:val="00F642EB"/>
    <w:rsid w:val="00F677F2"/>
    <w:rsid w:val="00F750AA"/>
    <w:rsid w:val="00F8554F"/>
    <w:rsid w:val="00F86E5F"/>
    <w:rsid w:val="00F90DBE"/>
    <w:rsid w:val="00F9760A"/>
    <w:rsid w:val="00FA3619"/>
    <w:rsid w:val="00FB3DC8"/>
    <w:rsid w:val="00FB550E"/>
    <w:rsid w:val="00FB59FE"/>
    <w:rsid w:val="00FC1E72"/>
    <w:rsid w:val="00FC5C23"/>
    <w:rsid w:val="00FC7A2E"/>
    <w:rsid w:val="00FD1172"/>
    <w:rsid w:val="00FD696F"/>
    <w:rsid w:val="00FE1A8A"/>
    <w:rsid w:val="00FE66F8"/>
    <w:rsid w:val="00FF1E7E"/>
    <w:rsid w:val="00FF3F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36"/>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package" Target="embeddings/Microsoft_Excel_Worksheet3.xlsx"/><Relationship Id="rId26" Type="http://schemas.openxmlformats.org/officeDocument/2006/relationships/image" Target="media/image9.emf"/><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package" Target="embeddings/Microsoft_Excel_Worksheet8.xlsx"/><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5.emf"/><Relationship Id="rId25" Type="http://schemas.openxmlformats.org/officeDocument/2006/relationships/header" Target="header1.xml"/><Relationship Id="rId33" Type="http://schemas.openxmlformats.org/officeDocument/2006/relationships/image" Target="media/image12.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6.xlsx"/><Relationship Id="rId32" Type="http://schemas.openxmlformats.org/officeDocument/2006/relationships/oleObject" Target="embeddings/Microsoft_Excel_97-2003_Worksheet2.xls"/><Relationship Id="rId37" Type="http://schemas.openxmlformats.org/officeDocument/2006/relationships/image" Target="media/image13.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2.xml"/><Relationship Id="rId36" Type="http://schemas.openxmlformats.org/officeDocument/2006/relationships/footer" Target="footer3.xml"/><Relationship Id="rId10" Type="http://schemas.openxmlformats.org/officeDocument/2006/relationships/oleObject" Target="embeddings/Microsoft_Excel_97-2003_Worksheet.xls"/><Relationship Id="rId19" Type="http://schemas.openxmlformats.org/officeDocument/2006/relationships/image" Target="media/image6.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1.xlsx"/><Relationship Id="rId22" Type="http://schemas.openxmlformats.org/officeDocument/2006/relationships/package" Target="embeddings/Microsoft_Excel_Worksheet5.xlsx"/><Relationship Id="rId27" Type="http://schemas.openxmlformats.org/officeDocument/2006/relationships/oleObject" Target="embeddings/Microsoft_Excel_97-2003_Worksheet1.xls"/><Relationship Id="rId30" Type="http://schemas.openxmlformats.org/officeDocument/2006/relationships/package" Target="embeddings/Microsoft_Excel_Worksheet7.xlsx"/><Relationship Id="rId35"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30</Pages>
  <Words>8211</Words>
  <Characters>46803</Characters>
  <Application>Microsoft Office Word</Application>
  <DocSecurity>0</DocSecurity>
  <Lines>390</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4</cp:revision>
  <cp:lastPrinted>2020-04-06T11:28:00Z</cp:lastPrinted>
  <dcterms:created xsi:type="dcterms:W3CDTF">2021-06-02T12:23:00Z</dcterms:created>
  <dcterms:modified xsi:type="dcterms:W3CDTF">2021-06-11T09:13:00Z</dcterms:modified>
</cp:coreProperties>
</file>