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8C0F" w14:textId="77777777" w:rsidR="000B6D3B" w:rsidRPr="004F7252" w:rsidRDefault="000B6D3B" w:rsidP="000B6D3B">
      <w:pPr>
        <w:jc w:val="both"/>
        <w:rPr>
          <w:rFonts w:cs="Times New Roman"/>
        </w:rPr>
      </w:pPr>
    </w:p>
    <w:p w14:paraId="3E5C223F" w14:textId="77777777" w:rsidR="000B6D3B" w:rsidRPr="004F7252" w:rsidRDefault="000B6D3B" w:rsidP="000B6D3B">
      <w:pPr>
        <w:jc w:val="both"/>
        <w:rPr>
          <w:rFonts w:cs="Times New Roman"/>
        </w:rPr>
      </w:pPr>
    </w:p>
    <w:p w14:paraId="6F9A9C08" w14:textId="77777777" w:rsidR="000B6D3B" w:rsidRPr="004F7252" w:rsidRDefault="000B6D3B" w:rsidP="000B6D3B">
      <w:pPr>
        <w:ind w:left="420" w:right="92"/>
        <w:jc w:val="both"/>
        <w:rPr>
          <w:rFonts w:cs="Times New Roman"/>
          <w:i/>
          <w:iCs/>
          <w:sz w:val="20"/>
          <w:szCs w:val="20"/>
        </w:rPr>
      </w:pPr>
    </w:p>
    <w:p w14:paraId="1960D43F" w14:textId="77777777" w:rsidR="000B6D3B" w:rsidRPr="004F7252" w:rsidRDefault="000B6D3B" w:rsidP="000B6D3B">
      <w:pPr>
        <w:ind w:left="420" w:right="92"/>
        <w:jc w:val="both"/>
        <w:rPr>
          <w:rFonts w:cs="Times New Roman"/>
          <w:i/>
          <w:iCs/>
          <w:sz w:val="20"/>
          <w:szCs w:val="20"/>
        </w:rPr>
      </w:pPr>
    </w:p>
    <w:p w14:paraId="32BB39BF" w14:textId="77777777" w:rsidR="000B6D3B" w:rsidRPr="004F7252" w:rsidRDefault="000B6D3B" w:rsidP="000B6D3B">
      <w:pPr>
        <w:ind w:left="420" w:right="92"/>
        <w:jc w:val="both"/>
        <w:rPr>
          <w:rFonts w:cs="Times New Roman"/>
          <w:i/>
          <w:iCs/>
          <w:sz w:val="20"/>
          <w:szCs w:val="20"/>
        </w:rPr>
      </w:pPr>
    </w:p>
    <w:p w14:paraId="53A32B74" w14:textId="77777777" w:rsidR="000B6D3B" w:rsidRPr="004F7252" w:rsidRDefault="000B6D3B" w:rsidP="000B6D3B">
      <w:pPr>
        <w:ind w:left="420" w:right="92"/>
        <w:jc w:val="both"/>
        <w:rPr>
          <w:rFonts w:cs="Times New Roman"/>
          <w:i/>
          <w:iCs/>
          <w:sz w:val="20"/>
          <w:szCs w:val="20"/>
        </w:rPr>
      </w:pPr>
    </w:p>
    <w:p w14:paraId="35C6DD87" w14:textId="77777777" w:rsidR="000B6D3B" w:rsidRPr="004F7252" w:rsidRDefault="000B6D3B" w:rsidP="000B6D3B">
      <w:pPr>
        <w:ind w:left="420" w:right="92"/>
        <w:jc w:val="both"/>
        <w:rPr>
          <w:rFonts w:cs="Times New Roman"/>
          <w:i/>
          <w:iCs/>
          <w:sz w:val="20"/>
          <w:szCs w:val="20"/>
        </w:rPr>
      </w:pPr>
    </w:p>
    <w:p w14:paraId="292D5C76" w14:textId="77777777" w:rsidR="000B6D3B" w:rsidRPr="004F7252" w:rsidRDefault="000B6D3B" w:rsidP="000B6D3B">
      <w:pPr>
        <w:ind w:left="420" w:right="92"/>
        <w:jc w:val="both"/>
        <w:rPr>
          <w:rFonts w:cs="Times New Roman"/>
          <w:i/>
          <w:iCs/>
          <w:sz w:val="20"/>
          <w:szCs w:val="20"/>
        </w:rPr>
      </w:pPr>
    </w:p>
    <w:p w14:paraId="4C40DB3B" w14:textId="77777777" w:rsidR="000B6D3B" w:rsidRPr="00AC3250" w:rsidRDefault="000B6D3B" w:rsidP="000B6D3B">
      <w:pPr>
        <w:jc w:val="both"/>
        <w:rPr>
          <w:rFonts w:cs="Times New Roman"/>
          <w:b/>
          <w:sz w:val="40"/>
          <w:szCs w:val="40"/>
        </w:rPr>
      </w:pPr>
      <w:r w:rsidRPr="00AC3250">
        <w:rPr>
          <w:rFonts w:cs="Times New Roman"/>
          <w:b/>
          <w:sz w:val="40"/>
          <w:szCs w:val="40"/>
        </w:rPr>
        <w:t xml:space="preserve">IZVJEŠĆE POSLOVODSTVA DRUŠTVA </w:t>
      </w:r>
    </w:p>
    <w:p w14:paraId="6F274165" w14:textId="77777777" w:rsidR="000B6D3B" w:rsidRPr="00AC3250" w:rsidRDefault="000B6D3B" w:rsidP="000B6D3B">
      <w:pPr>
        <w:jc w:val="both"/>
        <w:rPr>
          <w:rFonts w:cs="Times New Roman"/>
          <w:b/>
          <w:sz w:val="40"/>
          <w:szCs w:val="40"/>
        </w:rPr>
      </w:pPr>
      <w:r w:rsidRPr="00AC3250">
        <w:rPr>
          <w:rFonts w:cs="Times New Roman"/>
          <w:b/>
          <w:sz w:val="40"/>
          <w:szCs w:val="40"/>
        </w:rPr>
        <w:t xml:space="preserve">PONIKVE VODA d.o.o. </w:t>
      </w:r>
    </w:p>
    <w:p w14:paraId="5004AD29" w14:textId="77777777" w:rsidR="000B6D3B" w:rsidRPr="00AC3250" w:rsidRDefault="000B6D3B" w:rsidP="000B6D3B">
      <w:pPr>
        <w:jc w:val="both"/>
        <w:rPr>
          <w:rFonts w:cs="Times New Roman"/>
          <w:b/>
          <w:sz w:val="40"/>
          <w:szCs w:val="40"/>
        </w:rPr>
      </w:pPr>
      <w:r w:rsidRPr="00AC3250">
        <w:rPr>
          <w:rFonts w:cs="Times New Roman"/>
          <w:b/>
          <w:sz w:val="40"/>
          <w:szCs w:val="40"/>
        </w:rPr>
        <w:t>ZA 20</w:t>
      </w:r>
      <w:r>
        <w:rPr>
          <w:rFonts w:cs="Times New Roman"/>
          <w:b/>
          <w:sz w:val="40"/>
          <w:szCs w:val="40"/>
        </w:rPr>
        <w:t>20.</w:t>
      </w:r>
      <w:r w:rsidRPr="00AC3250">
        <w:rPr>
          <w:rFonts w:cs="Times New Roman"/>
          <w:b/>
          <w:sz w:val="40"/>
          <w:szCs w:val="40"/>
        </w:rPr>
        <w:t xml:space="preserve"> GODINU</w:t>
      </w:r>
    </w:p>
    <w:p w14:paraId="5E73E645" w14:textId="77777777" w:rsidR="000B6D3B" w:rsidRPr="00AC3250" w:rsidRDefault="000B6D3B" w:rsidP="000B6D3B">
      <w:pPr>
        <w:jc w:val="both"/>
        <w:rPr>
          <w:rFonts w:cs="Times New Roman"/>
          <w:b/>
        </w:rPr>
      </w:pPr>
    </w:p>
    <w:p w14:paraId="1F55BFE2" w14:textId="77777777" w:rsidR="000B6D3B" w:rsidRPr="00AC3250" w:rsidRDefault="000B6D3B" w:rsidP="000B6D3B">
      <w:pPr>
        <w:jc w:val="both"/>
        <w:rPr>
          <w:rFonts w:cs="Times New Roman"/>
          <w:b/>
        </w:rPr>
      </w:pPr>
    </w:p>
    <w:p w14:paraId="37AEFA46" w14:textId="77777777" w:rsidR="000B6D3B" w:rsidRPr="00AC3250" w:rsidRDefault="000B6D3B" w:rsidP="000B6D3B">
      <w:pPr>
        <w:jc w:val="both"/>
        <w:rPr>
          <w:rFonts w:cs="Times New Roman"/>
          <w:b/>
        </w:rPr>
      </w:pPr>
    </w:p>
    <w:p w14:paraId="4EC4199C" w14:textId="77777777" w:rsidR="000B6D3B" w:rsidRPr="00AC3250" w:rsidRDefault="000B6D3B" w:rsidP="000B6D3B">
      <w:pPr>
        <w:jc w:val="both"/>
        <w:rPr>
          <w:rFonts w:cs="Times New Roman"/>
          <w:b/>
        </w:rPr>
      </w:pPr>
    </w:p>
    <w:p w14:paraId="541748C4" w14:textId="77777777" w:rsidR="000B6D3B" w:rsidRPr="00AC3250" w:rsidRDefault="000B6D3B" w:rsidP="000B6D3B">
      <w:pPr>
        <w:jc w:val="both"/>
        <w:rPr>
          <w:rFonts w:cs="Times New Roman"/>
          <w:b/>
        </w:rPr>
      </w:pPr>
    </w:p>
    <w:p w14:paraId="1C4F71E7" w14:textId="77777777" w:rsidR="000B6D3B" w:rsidRPr="00AC3250" w:rsidRDefault="000B6D3B" w:rsidP="000B6D3B">
      <w:pPr>
        <w:jc w:val="both"/>
        <w:rPr>
          <w:rFonts w:cs="Times New Roman"/>
          <w:b/>
        </w:rPr>
      </w:pPr>
    </w:p>
    <w:p w14:paraId="2ED17792" w14:textId="77777777" w:rsidR="000B6D3B" w:rsidRPr="00AC3250" w:rsidRDefault="000B6D3B" w:rsidP="000B6D3B">
      <w:pPr>
        <w:jc w:val="both"/>
        <w:rPr>
          <w:rFonts w:cs="Times New Roman"/>
          <w:b/>
        </w:rPr>
      </w:pPr>
    </w:p>
    <w:p w14:paraId="34E4EEE9" w14:textId="77777777" w:rsidR="000B6D3B" w:rsidRPr="00AC3250" w:rsidRDefault="000B6D3B" w:rsidP="000B6D3B">
      <w:pPr>
        <w:jc w:val="both"/>
        <w:rPr>
          <w:rFonts w:cs="Times New Roman"/>
          <w:b/>
        </w:rPr>
      </w:pPr>
    </w:p>
    <w:p w14:paraId="4DAE3670" w14:textId="77777777" w:rsidR="000B6D3B" w:rsidRPr="00AC3250" w:rsidRDefault="000B6D3B" w:rsidP="000B6D3B">
      <w:pPr>
        <w:jc w:val="both"/>
        <w:rPr>
          <w:rFonts w:cs="Times New Roman"/>
          <w:b/>
        </w:rPr>
      </w:pPr>
    </w:p>
    <w:p w14:paraId="2F6B3FB4" w14:textId="77777777" w:rsidR="000B6D3B" w:rsidRPr="00AC3250" w:rsidRDefault="000B6D3B" w:rsidP="000B6D3B">
      <w:pPr>
        <w:jc w:val="both"/>
        <w:rPr>
          <w:rFonts w:cs="Times New Roman"/>
          <w:b/>
        </w:rPr>
      </w:pPr>
    </w:p>
    <w:p w14:paraId="4077AE23" w14:textId="77777777" w:rsidR="000B6D3B" w:rsidRPr="00AC3250" w:rsidRDefault="000B6D3B" w:rsidP="000B6D3B">
      <w:pPr>
        <w:jc w:val="both"/>
        <w:rPr>
          <w:rFonts w:cs="Times New Roman"/>
          <w:b/>
        </w:rPr>
      </w:pPr>
    </w:p>
    <w:p w14:paraId="4A605513" w14:textId="77777777" w:rsidR="000B6D3B" w:rsidRPr="00AC3250" w:rsidRDefault="000B6D3B" w:rsidP="000B6D3B">
      <w:pPr>
        <w:jc w:val="both"/>
        <w:rPr>
          <w:rFonts w:cs="Times New Roman"/>
          <w:b/>
        </w:rPr>
      </w:pPr>
    </w:p>
    <w:p w14:paraId="6CAC8401" w14:textId="77777777" w:rsidR="000B6D3B" w:rsidRPr="00AC3250" w:rsidRDefault="000B6D3B" w:rsidP="000B6D3B">
      <w:pPr>
        <w:jc w:val="both"/>
        <w:rPr>
          <w:rFonts w:cs="Times New Roman"/>
          <w:b/>
        </w:rPr>
      </w:pPr>
    </w:p>
    <w:p w14:paraId="31510CDB" w14:textId="77777777" w:rsidR="000B6D3B" w:rsidRPr="00AC3250" w:rsidRDefault="000B6D3B" w:rsidP="000B6D3B">
      <w:pPr>
        <w:jc w:val="both"/>
        <w:rPr>
          <w:rFonts w:cs="Times New Roman"/>
          <w:b/>
        </w:rPr>
      </w:pPr>
    </w:p>
    <w:p w14:paraId="0D66F605" w14:textId="77777777" w:rsidR="000B6D3B" w:rsidRPr="00AC3250" w:rsidRDefault="000B6D3B" w:rsidP="000B6D3B">
      <w:pPr>
        <w:jc w:val="both"/>
        <w:rPr>
          <w:rFonts w:cs="Times New Roman"/>
          <w:b/>
        </w:rPr>
      </w:pPr>
    </w:p>
    <w:p w14:paraId="464DE007" w14:textId="77777777" w:rsidR="000B6D3B" w:rsidRDefault="000B6D3B" w:rsidP="000B6D3B">
      <w:pPr>
        <w:spacing w:after="160" w:line="256" w:lineRule="auto"/>
        <w:jc w:val="both"/>
        <w:rPr>
          <w:rFonts w:ascii="Calibri" w:eastAsia="Calibri" w:hAnsi="Calibri" w:cs="Calibri"/>
          <w:b/>
          <w:bCs/>
          <w:sz w:val="24"/>
          <w:szCs w:val="24"/>
        </w:rPr>
      </w:pPr>
      <w:r>
        <w:rPr>
          <w:rFonts w:ascii="Calibri" w:eastAsia="Calibri" w:hAnsi="Calibri" w:cs="Calibri"/>
          <w:b/>
          <w:bCs/>
          <w:sz w:val="24"/>
          <w:szCs w:val="24"/>
        </w:rPr>
        <w:lastRenderedPageBreak/>
        <w:t>1.  OSNOVNI PODACI O DRUŠTVU</w:t>
      </w:r>
    </w:p>
    <w:p w14:paraId="349847CF" w14:textId="77777777" w:rsidR="000B6D3B" w:rsidRDefault="000B6D3B" w:rsidP="000B6D3B">
      <w:pPr>
        <w:spacing w:after="160" w:line="256" w:lineRule="auto"/>
        <w:jc w:val="both"/>
        <w:rPr>
          <w:rFonts w:ascii="Calibri" w:eastAsia="Calibri" w:hAnsi="Calibri" w:cs="Calibri"/>
        </w:rPr>
      </w:pPr>
    </w:p>
    <w:p w14:paraId="51078CD1"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Ponikve voda je društvo s ograničenom odgovornošću (dalje: Društvo) za komunalne djelatnosti.</w:t>
      </w:r>
    </w:p>
    <w:p w14:paraId="29B205BE"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2D931F5E"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Radi usklađivanja sa Zakonom o vodama bilo je potrebno sve djelatnosti kojima se Društvo bavilo, a koje nisu javna vodoopskrba i javna odvodnja izdvojiti iz poslovanja. Stoga su osnivači Ponikve d.o.o. odlučili da će postojeće društvo nastaviti obavljati djelatnost vodoopskrbe i javne odvodnje, a za obavljanje drugih djelatnosti osnovali su dva nova Društva.</w:t>
      </w:r>
    </w:p>
    <w:p w14:paraId="00272EB9"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Rješenjem trgovačkog suda u Rijeci Tt-13/9542-2 od 31.12.2013. godine Društvo nastavlja poslovati pod nazivom Ponikve voda d.o.o. Krk.</w:t>
      </w:r>
    </w:p>
    <w:p w14:paraId="7A380CF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Danas se radi o srednje velikom komunalnom društvu u 100 %-tnom vlasništvu svih jedinica lokalne samouprave otoka Krka. Temeljni upisani kapital Društva na dan 31. prosinca 2020. godine iznosi 322.395.200 kn. U prosincu 2020. godine Društvo je pokrenulo postupak </w:t>
      </w:r>
      <w:r>
        <w:rPr>
          <w:rFonts w:ascii="Calibri" w:eastAsia="Times New Roman" w:hAnsi="Calibri" w:cs="Calibri"/>
        </w:rPr>
        <w:t>povećanja temeljnog kapitala društva ulaganjem prava te je Rješenjem Trgovačkog suda od 17. veljače 2021. godine isti povećan i sada iznosi 378.463.000 kn.</w:t>
      </w:r>
    </w:p>
    <w:p w14:paraId="5355CAC0" w14:textId="77777777" w:rsidR="000B6D3B" w:rsidRDefault="000B6D3B" w:rsidP="000B6D3B">
      <w:pPr>
        <w:spacing w:after="0" w:line="240" w:lineRule="auto"/>
        <w:jc w:val="both"/>
        <w:rPr>
          <w:rFonts w:ascii="Calibri" w:eastAsia="Calibri" w:hAnsi="Calibri" w:cs="Calibri"/>
        </w:rPr>
      </w:pPr>
    </w:p>
    <w:p w14:paraId="1D50155F" w14:textId="77777777" w:rsidR="000B6D3B" w:rsidRDefault="000B6D3B" w:rsidP="000B6D3B">
      <w:pPr>
        <w:numPr>
          <w:ilvl w:val="1"/>
          <w:numId w:val="1"/>
        </w:numPr>
        <w:spacing w:after="0" w:line="240" w:lineRule="auto"/>
        <w:contextualSpacing/>
        <w:jc w:val="both"/>
        <w:rPr>
          <w:rFonts w:ascii="Calibri" w:eastAsia="Times New Roman" w:hAnsi="Calibri" w:cs="Calibri"/>
          <w:b/>
          <w:bCs/>
        </w:rPr>
      </w:pPr>
      <w:r>
        <w:rPr>
          <w:rFonts w:ascii="Calibri" w:eastAsia="Times New Roman" w:hAnsi="Calibri" w:cs="Calibri"/>
          <w:b/>
          <w:bCs/>
        </w:rPr>
        <w:t xml:space="preserve"> Djelatnost </w:t>
      </w:r>
    </w:p>
    <w:p w14:paraId="2450AD63" w14:textId="77777777" w:rsidR="000B6D3B" w:rsidRDefault="000B6D3B" w:rsidP="000B6D3B">
      <w:pPr>
        <w:spacing w:after="0" w:line="240" w:lineRule="auto"/>
        <w:ind w:left="360"/>
        <w:contextualSpacing/>
        <w:jc w:val="both"/>
        <w:rPr>
          <w:rFonts w:ascii="Calibri" w:eastAsia="Times New Roman" w:hAnsi="Calibri" w:cs="Calibri"/>
        </w:rPr>
      </w:pPr>
    </w:p>
    <w:p w14:paraId="46187A91"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Osnovne djelatnosti Društva su:</w:t>
      </w:r>
    </w:p>
    <w:p w14:paraId="3422F115" w14:textId="77777777" w:rsidR="000B6D3B" w:rsidRDefault="000B6D3B" w:rsidP="000B6D3B">
      <w:pPr>
        <w:numPr>
          <w:ilvl w:val="0"/>
          <w:numId w:val="2"/>
        </w:numPr>
        <w:spacing w:after="0" w:line="240" w:lineRule="auto"/>
        <w:ind w:right="92"/>
        <w:jc w:val="both"/>
        <w:rPr>
          <w:rFonts w:ascii="Calibri" w:eastAsia="Calibri" w:hAnsi="Calibri" w:cs="Calibri"/>
          <w:iCs/>
        </w:rPr>
      </w:pPr>
      <w:r>
        <w:rPr>
          <w:rFonts w:ascii="Calibri" w:eastAsia="Calibri" w:hAnsi="Calibri" w:cs="Calibri"/>
          <w:iCs/>
        </w:rPr>
        <w:t>proizvodnja i distribucija pitke vode</w:t>
      </w:r>
    </w:p>
    <w:p w14:paraId="3B877564" w14:textId="77777777" w:rsidR="000B6D3B" w:rsidRDefault="000B6D3B" w:rsidP="000B6D3B">
      <w:pPr>
        <w:numPr>
          <w:ilvl w:val="0"/>
          <w:numId w:val="2"/>
        </w:numPr>
        <w:spacing w:after="0" w:line="240" w:lineRule="auto"/>
        <w:ind w:right="92"/>
        <w:jc w:val="both"/>
        <w:rPr>
          <w:rFonts w:ascii="Calibri" w:eastAsia="Calibri" w:hAnsi="Calibri" w:cs="Calibri"/>
          <w:iCs/>
        </w:rPr>
      </w:pPr>
      <w:r>
        <w:rPr>
          <w:rFonts w:ascii="Calibri" w:eastAsia="Calibri" w:hAnsi="Calibri" w:cs="Calibri"/>
          <w:iCs/>
        </w:rPr>
        <w:t>odvodnja i pročišćavanje otpadnih voda.</w:t>
      </w:r>
    </w:p>
    <w:p w14:paraId="56AF5119" w14:textId="77777777" w:rsidR="000B6D3B" w:rsidRDefault="000B6D3B" w:rsidP="000B6D3B">
      <w:pPr>
        <w:spacing w:after="0" w:line="240" w:lineRule="auto"/>
        <w:ind w:left="780" w:right="92"/>
        <w:jc w:val="both"/>
        <w:rPr>
          <w:rFonts w:ascii="Calibri" w:eastAsia="Calibri" w:hAnsi="Calibri" w:cs="Calibri"/>
          <w:iCs/>
        </w:rPr>
      </w:pPr>
    </w:p>
    <w:p w14:paraId="1EC708C5"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Osim navedenih djelatnosti Društvo se bavi i montažama mjesnih cjevovoda (vode i kanalizacije), izradom vodovodnih i kanalizacijskih priključaka.</w:t>
      </w:r>
    </w:p>
    <w:p w14:paraId="54A83B7E" w14:textId="77777777" w:rsidR="000B6D3B" w:rsidRDefault="000B6D3B" w:rsidP="000B6D3B">
      <w:pPr>
        <w:spacing w:after="0" w:line="240" w:lineRule="auto"/>
        <w:ind w:right="92"/>
        <w:jc w:val="both"/>
        <w:rPr>
          <w:rFonts w:ascii="Calibri" w:eastAsia="Calibri" w:hAnsi="Calibri" w:cs="Calibri"/>
          <w:iCs/>
        </w:rPr>
      </w:pPr>
    </w:p>
    <w:p w14:paraId="54FF2704" w14:textId="77777777" w:rsidR="000B6D3B" w:rsidRDefault="000B6D3B" w:rsidP="000B6D3B">
      <w:pPr>
        <w:numPr>
          <w:ilvl w:val="1"/>
          <w:numId w:val="1"/>
        </w:numPr>
        <w:spacing w:after="0" w:line="240" w:lineRule="auto"/>
        <w:ind w:right="92"/>
        <w:contextualSpacing/>
        <w:jc w:val="both"/>
        <w:rPr>
          <w:rFonts w:ascii="Calibri" w:eastAsia="Times New Roman" w:hAnsi="Calibri" w:cs="Calibri"/>
          <w:b/>
          <w:bCs/>
          <w:iCs/>
        </w:rPr>
      </w:pPr>
      <w:r>
        <w:rPr>
          <w:rFonts w:ascii="Calibri" w:eastAsia="Times New Roman" w:hAnsi="Calibri" w:cs="Calibri"/>
          <w:b/>
          <w:bCs/>
          <w:iCs/>
        </w:rPr>
        <w:t xml:space="preserve"> Organi Društva</w:t>
      </w:r>
    </w:p>
    <w:p w14:paraId="5B88A0EA" w14:textId="77777777" w:rsidR="000B6D3B" w:rsidRDefault="000B6D3B" w:rsidP="000B6D3B">
      <w:pPr>
        <w:spacing w:after="0" w:line="240" w:lineRule="auto"/>
        <w:ind w:left="360" w:right="92"/>
        <w:contextualSpacing/>
        <w:jc w:val="both"/>
        <w:rPr>
          <w:rFonts w:ascii="Calibri" w:eastAsia="Times New Roman" w:hAnsi="Calibri" w:cs="Calibri"/>
          <w:iCs/>
        </w:rPr>
      </w:pPr>
    </w:p>
    <w:p w14:paraId="23921065"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 xml:space="preserve">Društvo ima skupštinu društva i upravu. </w:t>
      </w:r>
    </w:p>
    <w:p w14:paraId="358BAEEF"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Skupštinu društva čine članovi društva (osnivači) – jedinice lokalne samouprave, a njome predsjeda predsjednik. Predsjednik skupštine imenuje se na vrijeme od godinu dana.</w:t>
      </w:r>
    </w:p>
    <w:p w14:paraId="4AC2E229"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Svaki član skupštine ostvaruje prava i dužnosti sukladno veličini temeljnog uloga.</w:t>
      </w:r>
    </w:p>
    <w:p w14:paraId="316B28D8"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Skupština društva odlučuje o svim bitnim stvarima kao što su financijski izvještaji, godišnji planovi poslovanja, investicijski  i razvojni planovi, cijene komunalnih usluga i slično.</w:t>
      </w:r>
    </w:p>
    <w:p w14:paraId="770ABA29"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Poslove društva vodi uprava koja se sastoji od jednog direktora kojeg imenuje skupština. Uprava društva zastupa društvo, rukovodi i organizira proces rada i poslovanja te obavlja i druge poslove na temelju zakona i ovlaštenja.</w:t>
      </w:r>
    </w:p>
    <w:p w14:paraId="7194B2F9"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Direktor društva za razdoblje od 01.01.2018. do 31.12.2021. godine je mr.sc. Ivica Plišić, dipl.ing.građ.</w:t>
      </w:r>
    </w:p>
    <w:p w14:paraId="70A2F2DD" w14:textId="77777777" w:rsidR="000B6D3B" w:rsidRDefault="000B6D3B" w:rsidP="000B6D3B">
      <w:pPr>
        <w:spacing w:after="0" w:line="240" w:lineRule="auto"/>
        <w:ind w:right="92"/>
        <w:jc w:val="both"/>
        <w:rPr>
          <w:rFonts w:ascii="Calibri" w:eastAsia="Calibri" w:hAnsi="Calibri" w:cs="Calibri"/>
          <w:iCs/>
        </w:rPr>
      </w:pPr>
    </w:p>
    <w:p w14:paraId="364C0498" w14:textId="77777777" w:rsidR="000B6D3B" w:rsidRDefault="000B6D3B" w:rsidP="000B6D3B">
      <w:pPr>
        <w:numPr>
          <w:ilvl w:val="1"/>
          <w:numId w:val="1"/>
        </w:numPr>
        <w:spacing w:after="0" w:line="240" w:lineRule="auto"/>
        <w:ind w:right="92"/>
        <w:contextualSpacing/>
        <w:jc w:val="both"/>
        <w:rPr>
          <w:rFonts w:ascii="Calibri" w:eastAsia="Times New Roman" w:hAnsi="Calibri" w:cs="Calibri"/>
          <w:b/>
          <w:bCs/>
          <w:iCs/>
        </w:rPr>
      </w:pPr>
      <w:r>
        <w:rPr>
          <w:rFonts w:ascii="Calibri" w:eastAsia="Times New Roman" w:hAnsi="Calibri" w:cs="Calibri"/>
          <w:b/>
          <w:bCs/>
          <w:iCs/>
        </w:rPr>
        <w:t xml:space="preserve"> Organizacija i radnici</w:t>
      </w:r>
    </w:p>
    <w:p w14:paraId="1D58FBE2" w14:textId="77777777" w:rsidR="000B6D3B" w:rsidRDefault="000B6D3B" w:rsidP="000B6D3B">
      <w:pPr>
        <w:spacing w:after="0" w:line="240" w:lineRule="auto"/>
        <w:ind w:left="360" w:right="92"/>
        <w:contextualSpacing/>
        <w:jc w:val="both"/>
        <w:rPr>
          <w:rFonts w:ascii="Calibri" w:eastAsia="Times New Roman" w:hAnsi="Calibri" w:cs="Calibri"/>
          <w:iCs/>
        </w:rPr>
      </w:pPr>
    </w:p>
    <w:p w14:paraId="79C3DD92" w14:textId="77777777" w:rsidR="000B6D3B" w:rsidRDefault="000B6D3B" w:rsidP="000B6D3B">
      <w:pPr>
        <w:spacing w:after="0" w:line="240" w:lineRule="auto"/>
        <w:ind w:right="91"/>
        <w:jc w:val="both"/>
        <w:rPr>
          <w:rFonts w:ascii="Calibri" w:eastAsia="Calibri" w:hAnsi="Calibri" w:cs="Calibri"/>
          <w:iCs/>
        </w:rPr>
      </w:pPr>
      <w:r>
        <w:rPr>
          <w:rFonts w:ascii="Calibri" w:eastAsia="Calibri" w:hAnsi="Calibri" w:cs="Calibri"/>
          <w:iCs/>
        </w:rPr>
        <w:t>Društvo je organizirano tako da postoje dvije radne jedinice: RJ Voda i  RJ Kanalizacija.</w:t>
      </w:r>
    </w:p>
    <w:p w14:paraId="6A182D63" w14:textId="77777777" w:rsidR="000B6D3B" w:rsidRDefault="000B6D3B" w:rsidP="000B6D3B">
      <w:pPr>
        <w:spacing w:after="0" w:line="240" w:lineRule="auto"/>
        <w:ind w:right="91"/>
        <w:jc w:val="both"/>
        <w:rPr>
          <w:rFonts w:ascii="Calibri" w:eastAsia="Calibri" w:hAnsi="Calibri" w:cs="Calibri"/>
          <w:iCs/>
        </w:rPr>
      </w:pPr>
      <w:r>
        <w:rPr>
          <w:rFonts w:ascii="Calibri" w:eastAsia="Calibri" w:hAnsi="Calibri" w:cs="Calibri"/>
          <w:iCs/>
        </w:rPr>
        <w:t>Na dan 31. prosinca 2020. godine Društvo zapošljava 89 radnika.</w:t>
      </w:r>
    </w:p>
    <w:p w14:paraId="3C9218D7" w14:textId="3FD41437" w:rsidR="000B6D3B" w:rsidRDefault="000B6D3B" w:rsidP="000B6D3B">
      <w:pPr>
        <w:spacing w:after="0" w:line="240" w:lineRule="auto"/>
        <w:ind w:right="91"/>
        <w:jc w:val="both"/>
        <w:rPr>
          <w:rFonts w:ascii="Calibri" w:eastAsia="Calibri" w:hAnsi="Calibri" w:cs="Calibri"/>
          <w:iCs/>
        </w:rPr>
      </w:pPr>
    </w:p>
    <w:p w14:paraId="46185D3E" w14:textId="2FBDF681" w:rsidR="000B6D3B" w:rsidRDefault="000B6D3B" w:rsidP="000B6D3B">
      <w:pPr>
        <w:spacing w:after="0" w:line="240" w:lineRule="auto"/>
        <w:ind w:right="91"/>
        <w:jc w:val="both"/>
        <w:rPr>
          <w:rFonts w:ascii="Calibri" w:eastAsia="Calibri" w:hAnsi="Calibri" w:cs="Calibri"/>
          <w:iCs/>
        </w:rPr>
      </w:pPr>
    </w:p>
    <w:p w14:paraId="25A68AAE" w14:textId="77777777" w:rsidR="000B6D3B" w:rsidRDefault="000B6D3B" w:rsidP="000B6D3B">
      <w:pPr>
        <w:spacing w:after="0" w:line="240" w:lineRule="auto"/>
        <w:ind w:right="91"/>
        <w:jc w:val="both"/>
        <w:rPr>
          <w:rFonts w:ascii="Calibri" w:eastAsia="Calibri" w:hAnsi="Calibri" w:cs="Calibri"/>
          <w:iCs/>
        </w:rPr>
      </w:pPr>
    </w:p>
    <w:p w14:paraId="4BCFBCD5" w14:textId="77777777" w:rsidR="000B6D3B" w:rsidRDefault="000B6D3B" w:rsidP="000B6D3B">
      <w:pPr>
        <w:numPr>
          <w:ilvl w:val="1"/>
          <w:numId w:val="1"/>
        </w:numPr>
        <w:spacing w:after="0" w:line="240" w:lineRule="auto"/>
        <w:ind w:right="91"/>
        <w:contextualSpacing/>
        <w:jc w:val="both"/>
        <w:rPr>
          <w:rFonts w:ascii="Calibri" w:eastAsia="Times New Roman" w:hAnsi="Calibri" w:cs="Calibri"/>
          <w:b/>
          <w:bCs/>
          <w:iCs/>
        </w:rPr>
      </w:pPr>
      <w:r>
        <w:rPr>
          <w:rFonts w:ascii="Calibri" w:eastAsia="Times New Roman" w:hAnsi="Calibri" w:cs="Calibri"/>
          <w:b/>
          <w:bCs/>
          <w:iCs/>
        </w:rPr>
        <w:lastRenderedPageBreak/>
        <w:t xml:space="preserve"> Program kvalitete</w:t>
      </w:r>
    </w:p>
    <w:p w14:paraId="7B8C1137" w14:textId="77777777" w:rsidR="000B6D3B" w:rsidRDefault="000B6D3B" w:rsidP="000B6D3B">
      <w:pPr>
        <w:spacing w:after="0" w:line="240" w:lineRule="auto"/>
        <w:rPr>
          <w:rFonts w:ascii="Calibri" w:eastAsia="Calibri" w:hAnsi="Calibri" w:cs="Calibri"/>
        </w:rPr>
      </w:pPr>
    </w:p>
    <w:p w14:paraId="477D6304" w14:textId="77777777" w:rsidR="000B6D3B" w:rsidRDefault="000B6D3B" w:rsidP="000B6D3B">
      <w:pPr>
        <w:numPr>
          <w:ilvl w:val="2"/>
          <w:numId w:val="1"/>
        </w:numPr>
        <w:spacing w:after="0" w:line="240" w:lineRule="auto"/>
        <w:contextualSpacing/>
        <w:rPr>
          <w:rFonts w:ascii="Calibri" w:eastAsia="Times New Roman" w:hAnsi="Calibri" w:cs="Calibri"/>
          <w:b/>
        </w:rPr>
      </w:pPr>
      <w:r>
        <w:rPr>
          <w:rFonts w:ascii="Calibri" w:eastAsia="Times New Roman" w:hAnsi="Calibri" w:cs="Calibri"/>
          <w:b/>
        </w:rPr>
        <w:t>HRN EN ISO 9001:2015</w:t>
      </w:r>
    </w:p>
    <w:p w14:paraId="304C69FE" w14:textId="77777777" w:rsidR="000B6D3B" w:rsidRDefault="000B6D3B" w:rsidP="000B6D3B">
      <w:pPr>
        <w:spacing w:after="0" w:line="240" w:lineRule="auto"/>
        <w:jc w:val="both"/>
        <w:rPr>
          <w:rFonts w:ascii="Calibri" w:eastAsia="Calibri" w:hAnsi="Calibri" w:cs="Calibri"/>
        </w:rPr>
      </w:pPr>
    </w:p>
    <w:p w14:paraId="7E8B116F"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Sustav upravljanja kvalitetom prvi put je certificiran 7. lipnja 2002. godine .</w:t>
      </w:r>
    </w:p>
    <w:p w14:paraId="3828B93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Ponikve voda d.o.o. se recertificirala 2017. godine prema novoj normi ISO 9001:2015</w:t>
      </w:r>
    </w:p>
    <w:p w14:paraId="0D55A655"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Tijekom 2017. godine implementirali su se zahtjevi nove norme, revidirane su radne upute, procedure i obrasci prema novim zahtjevima norme.</w:t>
      </w:r>
    </w:p>
    <w:p w14:paraId="29DAC55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Izrađena je Upravina ocjena Društva prema novoj normi u kojoj je obrađeno postojeće stanje, analiza, problemi i prijedlozi za poboljšanja. </w:t>
      </w:r>
    </w:p>
    <w:p w14:paraId="48D0CEB4"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Educirani auditori proveli su interne audite paralelno u sva tri sustava prema definiranom Planu audita.</w:t>
      </w:r>
    </w:p>
    <w:p w14:paraId="0D96A928"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Konstatirano je da svi dokumenti ostaju važeći i primjenjivi u tvrtkama Ponikve voda, Ponikve eko otok Krk  i Ponikve usluga. </w:t>
      </w:r>
    </w:p>
    <w:p w14:paraId="67E42E3C"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Politika kvalitete je također primjenjiva na sve tri organizacije za sve tri certificirane norme (ISO 9001, ISO 14001 i HACCP) te sadrži opredjeljenja za istim zahtjevima u vodoopskrbi, odvodnji i gospodarenju otpadom. </w:t>
      </w:r>
    </w:p>
    <w:p w14:paraId="37CE914F"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Promjene unutar Poslovnika kvalitete i zaštite okoliša provedene su sukladno proceduri PR.03. Upravljanje dokumentacijom i podacima.</w:t>
      </w:r>
    </w:p>
    <w:p w14:paraId="0AA9518E"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Recertifikacijski audit održao se od 04. - 06. lipnja 2020. godine sukladno zahtjevima norme ISO 9001:2015 prema planu i </w:t>
      </w:r>
      <w:r>
        <w:rPr>
          <w:rFonts w:ascii="Calibri" w:eastAsia="Calibri" w:hAnsi="Calibri" w:cs="Calibri"/>
          <w:b/>
        </w:rPr>
        <w:t>nisu utvrđene nesukladnosti</w:t>
      </w:r>
      <w:r>
        <w:rPr>
          <w:rFonts w:ascii="Calibri" w:eastAsia="Calibri" w:hAnsi="Calibri" w:cs="Calibri"/>
        </w:rPr>
        <w:t>.</w:t>
      </w:r>
    </w:p>
    <w:p w14:paraId="1CAA5D80" w14:textId="77777777" w:rsidR="000B6D3B" w:rsidRDefault="000B6D3B" w:rsidP="000B6D3B">
      <w:pPr>
        <w:spacing w:after="0" w:line="240" w:lineRule="auto"/>
        <w:jc w:val="both"/>
        <w:rPr>
          <w:rFonts w:ascii="Calibri" w:eastAsia="Calibri" w:hAnsi="Calibri" w:cs="Calibri"/>
        </w:rPr>
      </w:pPr>
    </w:p>
    <w:p w14:paraId="4ED1B1B8"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„Sustav upravljanja kvalitetom uveden je u cijelu organizaciju i na sve lokacije. </w:t>
      </w:r>
    </w:p>
    <w:p w14:paraId="5D9BBEDA"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Sustav je primjeren prirodi, vrsti i potrebama organizacije, integriran sa sustavom upravljanja zaštitom okoliša.</w:t>
      </w:r>
    </w:p>
    <w:p w14:paraId="3AF5975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Sustav učinkovito donosi elemente planiranja i realizacije ciljeva uz operacionalizaciju istih.</w:t>
      </w:r>
    </w:p>
    <w:p w14:paraId="7ABB14BB"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Organizacija je prikazala uspostavljanje i nadzor primjerenih ključnih performansi ciljeva te nadzire napredak prema njihovom ostvarivanju.</w:t>
      </w:r>
    </w:p>
    <w:p w14:paraId="76173202"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Tijekom procesa audita sustav upravljanja je prikazao ukupnu usklađenost sa zahtjevima standarda audita.</w:t>
      </w:r>
    </w:p>
    <w:p w14:paraId="72E65C1A"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Tijekom recertifikacijskog audita nisu utvrđene nesukladnosti.“</w:t>
      </w:r>
    </w:p>
    <w:p w14:paraId="0A684883" w14:textId="77777777" w:rsidR="000B6D3B" w:rsidRDefault="000B6D3B" w:rsidP="000B6D3B">
      <w:pPr>
        <w:spacing w:after="0" w:line="240" w:lineRule="auto"/>
        <w:jc w:val="both"/>
        <w:rPr>
          <w:rFonts w:ascii="Calibri" w:eastAsia="Calibri" w:hAnsi="Calibri" w:cs="Calibri"/>
        </w:rPr>
      </w:pPr>
    </w:p>
    <w:p w14:paraId="5DB26ED4"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Broj certifikata: HR007624 Verzija 1, datum izdavanja 15. lipanj 2020. za opseg „vodoopskrba i odvodnja“</w:t>
      </w:r>
    </w:p>
    <w:p w14:paraId="21529F6C" w14:textId="77777777" w:rsidR="000B6D3B" w:rsidRDefault="000B6D3B" w:rsidP="000B6D3B">
      <w:pPr>
        <w:spacing w:after="0" w:line="240" w:lineRule="auto"/>
        <w:jc w:val="both"/>
        <w:rPr>
          <w:rFonts w:ascii="Calibri" w:eastAsia="Calibri" w:hAnsi="Calibri" w:cs="Calibri"/>
        </w:rPr>
      </w:pPr>
    </w:p>
    <w:p w14:paraId="79BAB4FE" w14:textId="77777777" w:rsidR="000B6D3B" w:rsidRDefault="000B6D3B" w:rsidP="000B6D3B">
      <w:pPr>
        <w:spacing w:after="0" w:line="240" w:lineRule="auto"/>
        <w:jc w:val="both"/>
        <w:rPr>
          <w:rFonts w:ascii="Calibri" w:eastAsia="Calibri" w:hAnsi="Calibri" w:cs="Calibri"/>
        </w:rPr>
      </w:pPr>
    </w:p>
    <w:p w14:paraId="0ABE6E69" w14:textId="77777777" w:rsidR="000B6D3B" w:rsidRDefault="000B6D3B" w:rsidP="000B6D3B">
      <w:pPr>
        <w:numPr>
          <w:ilvl w:val="2"/>
          <w:numId w:val="1"/>
        </w:numPr>
        <w:spacing w:after="0" w:line="240" w:lineRule="auto"/>
        <w:jc w:val="both"/>
        <w:rPr>
          <w:rFonts w:ascii="Calibri" w:eastAsia="Calibri" w:hAnsi="Calibri" w:cs="Calibri"/>
          <w:b/>
        </w:rPr>
      </w:pPr>
      <w:r>
        <w:rPr>
          <w:rFonts w:ascii="Calibri" w:eastAsia="Calibri" w:hAnsi="Calibri" w:cs="Calibri"/>
          <w:b/>
        </w:rPr>
        <w:t>HRN EN ISO 14001:2015</w:t>
      </w:r>
    </w:p>
    <w:p w14:paraId="469E689E" w14:textId="77777777" w:rsidR="000B6D3B" w:rsidRDefault="000B6D3B" w:rsidP="000B6D3B">
      <w:pPr>
        <w:spacing w:after="0" w:line="240" w:lineRule="auto"/>
        <w:jc w:val="both"/>
        <w:rPr>
          <w:rFonts w:ascii="Calibri" w:eastAsia="Calibri" w:hAnsi="Calibri" w:cs="Calibri"/>
        </w:rPr>
      </w:pPr>
    </w:p>
    <w:p w14:paraId="4620514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Sustav zaštite okoliša certificiran  je prvi put 18. srpnja 2011. godine. </w:t>
      </w:r>
    </w:p>
    <w:p w14:paraId="60DA4557"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Ponikve voda d.o.o. se recertificirala 2017. godine prema novoj normi ISO 14001:2015</w:t>
      </w:r>
    </w:p>
    <w:p w14:paraId="30A2F7D1"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Izrađena je sva potrebna dokumentacija, educirani zaposlenici te su osposobljeni auditori i vanjski suradnik proveli interne audite prema planu. </w:t>
      </w:r>
    </w:p>
    <w:p w14:paraId="7709E543"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Opseg djelatnosti ostao je isti: „vodoopskrba i odvodnja“.</w:t>
      </w:r>
    </w:p>
    <w:p w14:paraId="51AD4176"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Recertifikacijski audit sustava zaštite okoliša prema novoj normi ISO 14001:2015 proveden je 04. – 06. lipnja 2020. prema planu i </w:t>
      </w:r>
      <w:r>
        <w:rPr>
          <w:rFonts w:ascii="Calibri" w:eastAsia="Calibri" w:hAnsi="Calibri" w:cs="Calibri"/>
          <w:b/>
        </w:rPr>
        <w:t>nisu utvrđene nesukladnosti</w:t>
      </w:r>
      <w:r>
        <w:rPr>
          <w:rFonts w:ascii="Calibri" w:eastAsia="Calibri" w:hAnsi="Calibri" w:cs="Calibri"/>
        </w:rPr>
        <w:t>.</w:t>
      </w:r>
    </w:p>
    <w:p w14:paraId="7EB52B19"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Dokumentacija sustava primjerena je zahtjevima norme ISO 14001:2015.</w:t>
      </w:r>
    </w:p>
    <w:p w14:paraId="0743591E" w14:textId="77777777" w:rsidR="000B6D3B" w:rsidRDefault="000B6D3B" w:rsidP="000B6D3B">
      <w:pPr>
        <w:spacing w:after="0" w:line="240" w:lineRule="auto"/>
        <w:jc w:val="both"/>
        <w:rPr>
          <w:rFonts w:ascii="Calibri" w:eastAsia="Calibri" w:hAnsi="Calibri" w:cs="Calibri"/>
        </w:rPr>
      </w:pPr>
    </w:p>
    <w:p w14:paraId="3DBE9144"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„Auditorski tim je proveo audit temeljem procesa usmjerivši se na značajne aspekte, rizike i ciljeve. </w:t>
      </w:r>
    </w:p>
    <w:p w14:paraId="52D7AE7A"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Politika kvalitete, zaštite okoliša i energetske učinkovitosti integrirani je dokument koji se odnosi na tri implementirana sustava upravljanja.</w:t>
      </w:r>
    </w:p>
    <w:p w14:paraId="374D50D1"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Politika je primjerena naravi te utjecaju na okoliš i svrsi organizacije.</w:t>
      </w:r>
    </w:p>
    <w:p w14:paraId="2C223B3E"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Dokumentacija sustava upravljanja sukladna je sa zahtjevima standarda audita i osigurava dostatnu strukturu za potporu primjeni i održavanju sustava upravljanja.</w:t>
      </w:r>
    </w:p>
    <w:p w14:paraId="384780C8"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lastRenderedPageBreak/>
        <w:t>Organizacija je prikazala uspostavljanje i nadzor primjerenih ključnih performansi ciljeva te nadzire napredak prema njihovom ostvarivanju.</w:t>
      </w:r>
    </w:p>
    <w:p w14:paraId="2A244888"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Tijekom procesa audita sustav upravljanja je prikazao ukupnu sukladnost sa zahtjevima standarda audita.</w:t>
      </w:r>
    </w:p>
    <w:p w14:paraId="4CFF5502"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Tijekom audita </w:t>
      </w:r>
      <w:r>
        <w:rPr>
          <w:rFonts w:ascii="Calibri" w:eastAsia="Calibri" w:hAnsi="Calibri" w:cs="Calibri"/>
          <w:b/>
        </w:rPr>
        <w:t>nisu utvrđene nesukladnosti</w:t>
      </w:r>
      <w:r>
        <w:rPr>
          <w:rFonts w:ascii="Calibri" w:eastAsia="Calibri" w:hAnsi="Calibri" w:cs="Calibri"/>
        </w:rPr>
        <w:t>.</w:t>
      </w:r>
    </w:p>
    <w:p w14:paraId="7A6D1221"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Auditorski tim zaključuje kako je organizacija uspostavila i održava vlastiti sustav upravljanja u skladu sa zahtjevima standarda, te je prikazala sposobnost sustava u postizanju organizacijske politike i ciljeva.“</w:t>
      </w:r>
    </w:p>
    <w:p w14:paraId="455D651D" w14:textId="77777777" w:rsidR="000B6D3B" w:rsidRDefault="000B6D3B" w:rsidP="000B6D3B">
      <w:pPr>
        <w:spacing w:after="0" w:line="240" w:lineRule="auto"/>
        <w:jc w:val="both"/>
        <w:rPr>
          <w:rFonts w:ascii="Calibri" w:eastAsia="Calibri" w:hAnsi="Calibri" w:cs="Calibri"/>
        </w:rPr>
      </w:pPr>
    </w:p>
    <w:p w14:paraId="2AFCDD62"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Broj certifikata: HR007623 Verzija 1, datum izdavanja 10. lipanj 2020. za opseg „vodoopskrba i odvodnja“</w:t>
      </w:r>
    </w:p>
    <w:p w14:paraId="41C5B5E5" w14:textId="77777777" w:rsidR="000B6D3B" w:rsidRDefault="000B6D3B" w:rsidP="000B6D3B">
      <w:pPr>
        <w:spacing w:after="0" w:line="240" w:lineRule="auto"/>
        <w:jc w:val="both"/>
        <w:rPr>
          <w:rFonts w:ascii="Calibri" w:eastAsia="Calibri" w:hAnsi="Calibri" w:cs="Calibri"/>
        </w:rPr>
      </w:pPr>
    </w:p>
    <w:p w14:paraId="58DFDBFF" w14:textId="77777777" w:rsidR="000B6D3B" w:rsidRDefault="000B6D3B" w:rsidP="000B6D3B">
      <w:pPr>
        <w:spacing w:after="0" w:line="240" w:lineRule="auto"/>
        <w:jc w:val="both"/>
        <w:rPr>
          <w:rFonts w:ascii="Calibri" w:eastAsia="Calibri" w:hAnsi="Calibri" w:cs="Calibri"/>
        </w:rPr>
      </w:pPr>
    </w:p>
    <w:p w14:paraId="1F079C42" w14:textId="77777777" w:rsidR="000B6D3B" w:rsidRDefault="000B6D3B" w:rsidP="000B6D3B">
      <w:pPr>
        <w:spacing w:after="0" w:line="240" w:lineRule="auto"/>
        <w:jc w:val="both"/>
        <w:rPr>
          <w:rFonts w:ascii="Calibri" w:eastAsia="Calibri" w:hAnsi="Calibri" w:cs="Calibri"/>
          <w:b/>
        </w:rPr>
      </w:pPr>
      <w:r>
        <w:rPr>
          <w:rFonts w:ascii="Calibri" w:eastAsia="Calibri" w:hAnsi="Calibri" w:cs="Calibri"/>
          <w:b/>
        </w:rPr>
        <w:t>1.4.3. HACCP Codex Alimentarius Annex to CAC/RCP 1-1969 (Rev. 4-2003)</w:t>
      </w:r>
    </w:p>
    <w:p w14:paraId="0202428F" w14:textId="77777777" w:rsidR="000B6D3B" w:rsidRDefault="000B6D3B" w:rsidP="000B6D3B">
      <w:pPr>
        <w:spacing w:after="0" w:line="240" w:lineRule="auto"/>
        <w:jc w:val="both"/>
        <w:rPr>
          <w:rFonts w:ascii="Calibri" w:eastAsia="Calibri" w:hAnsi="Calibri" w:cs="Calibri"/>
        </w:rPr>
      </w:pPr>
    </w:p>
    <w:p w14:paraId="2BC00C5E"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Krajem 2004. godine započelo se s uvođenjem kontrole kvalitete vode prema načelima HACCP-a, a 16. prosinca 2005. godine sustav je prvi put certificiran.</w:t>
      </w:r>
    </w:p>
    <w:p w14:paraId="01A73045"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Dana 05. lipnja 2020. godine održao se audit sukladno planu audita, a prema BV Certification procedurama i prema zahtjevima norme CAC/RCP 1-1969 (Rev. 4-2003).</w:t>
      </w:r>
    </w:p>
    <w:p w14:paraId="05F38170" w14:textId="77777777" w:rsidR="000B6D3B" w:rsidRDefault="000B6D3B" w:rsidP="000B6D3B">
      <w:pPr>
        <w:spacing w:after="0" w:line="240" w:lineRule="auto"/>
        <w:jc w:val="both"/>
        <w:rPr>
          <w:rFonts w:ascii="Calibri" w:eastAsia="Calibri" w:hAnsi="Calibri" w:cs="Calibri"/>
        </w:rPr>
      </w:pPr>
    </w:p>
    <w:p w14:paraId="69B96C45"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„HACCP sustav dokumentiran je primjereno potrebama i zahtjevima proizvoda i procesa. </w:t>
      </w:r>
    </w:p>
    <w:p w14:paraId="097B7C74"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Proces se nadzire vođenjem propisanih evidencija, te jasnim procesima kontrole u procesu – primarno telemetrijom, te definiranim planom uzorkovanja, što rezultira uspješnom primjenom HACCP sustava. </w:t>
      </w:r>
    </w:p>
    <w:p w14:paraId="61621926"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Zakonski se provodi redovan monitoring od nadležnog županijskog zavoda za javno zdravstvo. </w:t>
      </w:r>
    </w:p>
    <w:p w14:paraId="0B6BAAB0"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Sve evidencije se uredno vode, te se zapisi i procesi verificiraju kako je propisano.</w:t>
      </w:r>
    </w:p>
    <w:p w14:paraId="3C7FDA49"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Pregledom HACCP studije sa pripadajućim dokumentima te obilaskom lokacija i razgovorom sa nadležnim osobama </w:t>
      </w:r>
      <w:r>
        <w:rPr>
          <w:rFonts w:ascii="Calibri" w:eastAsia="Calibri" w:hAnsi="Calibri" w:cs="Calibri"/>
          <w:b/>
        </w:rPr>
        <w:t>nisu utvrđene nesukladnosti</w:t>
      </w:r>
      <w:r>
        <w:rPr>
          <w:rFonts w:ascii="Calibri" w:eastAsia="Calibri" w:hAnsi="Calibri" w:cs="Calibri"/>
        </w:rPr>
        <w:t>.“</w:t>
      </w:r>
    </w:p>
    <w:p w14:paraId="0FE5ECC7" w14:textId="77777777" w:rsidR="000B6D3B" w:rsidRDefault="000B6D3B" w:rsidP="000B6D3B">
      <w:pPr>
        <w:spacing w:after="0" w:line="240" w:lineRule="auto"/>
        <w:jc w:val="both"/>
        <w:rPr>
          <w:rFonts w:ascii="Calibri" w:eastAsia="Calibri" w:hAnsi="Calibri" w:cs="Calibri"/>
        </w:rPr>
      </w:pPr>
    </w:p>
    <w:p w14:paraId="02B941FF"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Broj certifikata: HR007676 Verzija  01, datum revizije 07. srpanj 2020. za opseg „vodoopskrba“</w:t>
      </w:r>
    </w:p>
    <w:p w14:paraId="182593DA" w14:textId="77777777" w:rsidR="000B6D3B" w:rsidRDefault="000B6D3B" w:rsidP="000B6D3B">
      <w:pPr>
        <w:spacing w:after="0" w:line="240" w:lineRule="auto"/>
        <w:jc w:val="both"/>
        <w:rPr>
          <w:rFonts w:ascii="Calibri" w:eastAsia="Calibri" w:hAnsi="Calibri" w:cs="Calibri"/>
        </w:rPr>
      </w:pPr>
    </w:p>
    <w:p w14:paraId="74A5DF39" w14:textId="77777777" w:rsidR="000B6D3B" w:rsidRDefault="000B6D3B" w:rsidP="000B6D3B">
      <w:pPr>
        <w:spacing w:after="0" w:line="240" w:lineRule="auto"/>
        <w:jc w:val="both"/>
        <w:rPr>
          <w:rFonts w:ascii="Calibri" w:eastAsia="Calibri" w:hAnsi="Calibri" w:cs="Calibri"/>
        </w:rPr>
      </w:pPr>
    </w:p>
    <w:p w14:paraId="1A717410" w14:textId="77777777" w:rsidR="000B6D3B" w:rsidRDefault="000B6D3B" w:rsidP="000B6D3B">
      <w:pPr>
        <w:spacing w:after="0" w:line="240" w:lineRule="auto"/>
        <w:rPr>
          <w:rFonts w:ascii="Calibri" w:eastAsia="Calibri" w:hAnsi="Calibri" w:cs="Calibri"/>
          <w:b/>
          <w:bCs/>
          <w:iCs/>
        </w:rPr>
      </w:pPr>
      <w:r>
        <w:rPr>
          <w:rFonts w:ascii="Calibri" w:eastAsia="Calibri" w:hAnsi="Calibri" w:cs="Calibri"/>
          <w:b/>
          <w:bCs/>
          <w:iCs/>
        </w:rPr>
        <w:br w:type="page"/>
      </w:r>
    </w:p>
    <w:p w14:paraId="0D7E4216" w14:textId="77777777" w:rsidR="000B6D3B" w:rsidRDefault="000B6D3B" w:rsidP="000B6D3B">
      <w:pPr>
        <w:numPr>
          <w:ilvl w:val="0"/>
          <w:numId w:val="1"/>
        </w:numPr>
        <w:spacing w:after="0" w:line="240" w:lineRule="auto"/>
        <w:contextualSpacing/>
        <w:jc w:val="both"/>
        <w:rPr>
          <w:rFonts w:ascii="Calibri" w:eastAsia="Times New Roman" w:hAnsi="Calibri" w:cs="Calibri"/>
          <w:b/>
          <w:bCs/>
          <w:iCs/>
          <w:sz w:val="24"/>
          <w:szCs w:val="24"/>
        </w:rPr>
      </w:pPr>
      <w:r>
        <w:rPr>
          <w:rFonts w:ascii="Calibri" w:eastAsia="Times New Roman" w:hAnsi="Calibri" w:cs="Calibri"/>
          <w:b/>
          <w:bCs/>
          <w:iCs/>
          <w:sz w:val="24"/>
          <w:szCs w:val="24"/>
        </w:rPr>
        <w:lastRenderedPageBreak/>
        <w:t>FINANCIJSKI POKAZATELJI I OSTVARENI REZULTAT</w:t>
      </w:r>
    </w:p>
    <w:p w14:paraId="3FBA0947" w14:textId="77777777" w:rsidR="000B6D3B" w:rsidRDefault="000B6D3B" w:rsidP="000B6D3B">
      <w:pPr>
        <w:spacing w:after="160" w:line="256" w:lineRule="auto"/>
        <w:ind w:firstLine="708"/>
        <w:jc w:val="both"/>
        <w:rPr>
          <w:rFonts w:ascii="Calibri" w:eastAsia="Calibri" w:hAnsi="Calibri" w:cs="Calibri"/>
        </w:rPr>
      </w:pPr>
    </w:p>
    <w:p w14:paraId="5F02C6FA" w14:textId="1815998E" w:rsidR="000B6D3B" w:rsidRDefault="000B6D3B" w:rsidP="000B6D3B">
      <w:pPr>
        <w:spacing w:after="0" w:line="240" w:lineRule="auto"/>
        <w:ind w:firstLine="709"/>
        <w:jc w:val="both"/>
        <w:rPr>
          <w:rFonts w:ascii="Calibri" w:eastAsia="Calibri" w:hAnsi="Calibri" w:cs="Calibri"/>
        </w:rPr>
      </w:pPr>
      <w:r>
        <w:rPr>
          <w:rFonts w:ascii="Calibri" w:eastAsia="Calibri" w:hAnsi="Calibri" w:cs="Calibri"/>
        </w:rPr>
        <w:t xml:space="preserve">Za razdoblje od 01. siječnja do 31. prosinca 2020. godine,  Društvo je ostvarilo ukupne prihode u iznosu od 55.442.109,12 kn te ukupne rashode u iznosu od 56.691.569,70 kn. Temeljem razlike prihoda i rashoda ostvaren je gubitak tekuće godine u iznosu od 1.249.460,58 kn. </w:t>
      </w:r>
    </w:p>
    <w:p w14:paraId="08984B07" w14:textId="77777777" w:rsidR="000B6D3B" w:rsidRDefault="000B6D3B" w:rsidP="000B6D3B">
      <w:pPr>
        <w:numPr>
          <w:ilvl w:val="12"/>
          <w:numId w:val="0"/>
        </w:numPr>
        <w:spacing w:after="160" w:line="256" w:lineRule="auto"/>
        <w:jc w:val="both"/>
        <w:rPr>
          <w:rFonts w:ascii="Calibri" w:eastAsia="Calibri" w:hAnsi="Calibri" w:cs="Calibri"/>
        </w:rPr>
      </w:pPr>
    </w:p>
    <w:p w14:paraId="5582F5BA" w14:textId="77777777" w:rsidR="000B6D3B" w:rsidRDefault="000B6D3B" w:rsidP="000B6D3B">
      <w:pPr>
        <w:numPr>
          <w:ilvl w:val="12"/>
          <w:numId w:val="0"/>
        </w:numPr>
        <w:spacing w:after="0" w:line="240" w:lineRule="auto"/>
        <w:jc w:val="both"/>
        <w:rPr>
          <w:rFonts w:ascii="Calibri" w:eastAsia="Calibri" w:hAnsi="Calibri" w:cs="Calibri"/>
          <w:b/>
          <w:bCs/>
        </w:rPr>
      </w:pPr>
      <w:r>
        <w:rPr>
          <w:rFonts w:ascii="Calibri" w:eastAsia="Calibri" w:hAnsi="Calibri" w:cs="Calibri"/>
          <w:b/>
          <w:bCs/>
        </w:rPr>
        <w:t>2.1.</w:t>
      </w:r>
      <w:r>
        <w:rPr>
          <w:rFonts w:ascii="Calibri" w:eastAsia="Calibri" w:hAnsi="Calibri" w:cs="Calibri"/>
          <w:b/>
          <w:bCs/>
        </w:rPr>
        <w:tab/>
        <w:t>UKUPNI PRIHODI</w:t>
      </w:r>
    </w:p>
    <w:p w14:paraId="1C19C487" w14:textId="77777777" w:rsidR="000B6D3B" w:rsidRDefault="000B6D3B" w:rsidP="000B6D3B">
      <w:pPr>
        <w:numPr>
          <w:ilvl w:val="12"/>
          <w:numId w:val="0"/>
        </w:numPr>
        <w:spacing w:after="0" w:line="240" w:lineRule="auto"/>
        <w:ind w:firstLine="709"/>
        <w:jc w:val="both"/>
        <w:rPr>
          <w:rFonts w:ascii="Calibri" w:eastAsia="Calibri" w:hAnsi="Calibri" w:cs="Calibri"/>
          <w:b/>
        </w:rPr>
      </w:pPr>
    </w:p>
    <w:p w14:paraId="23952E5C" w14:textId="77777777" w:rsidR="000B6D3B" w:rsidRDefault="000B6D3B" w:rsidP="000B6D3B">
      <w:pPr>
        <w:numPr>
          <w:ilvl w:val="12"/>
          <w:numId w:val="0"/>
        </w:numPr>
        <w:spacing w:after="0" w:line="240" w:lineRule="auto"/>
        <w:ind w:firstLine="709"/>
        <w:jc w:val="both"/>
        <w:rPr>
          <w:rFonts w:ascii="Calibri" w:eastAsia="Calibri" w:hAnsi="Calibri" w:cs="Calibri"/>
        </w:rPr>
      </w:pPr>
      <w:r>
        <w:rPr>
          <w:rFonts w:ascii="Calibri" w:eastAsia="Calibri" w:hAnsi="Calibri" w:cs="Calibri"/>
          <w:b/>
        </w:rPr>
        <w:t>Prihodi od prodaje</w:t>
      </w:r>
      <w:r>
        <w:rPr>
          <w:rFonts w:ascii="Calibri" w:eastAsia="Calibri" w:hAnsi="Calibri" w:cs="Calibri"/>
        </w:rPr>
        <w:t xml:space="preserve">  u iznosu od 41.515.679,43 kn čine 74,9% ukupnih prihoda. </w:t>
      </w:r>
    </w:p>
    <w:p w14:paraId="2D20458E" w14:textId="77777777" w:rsidR="000B6D3B" w:rsidRDefault="000B6D3B" w:rsidP="000B6D3B">
      <w:pPr>
        <w:numPr>
          <w:ilvl w:val="12"/>
          <w:numId w:val="0"/>
        </w:numPr>
        <w:spacing w:after="0" w:line="240" w:lineRule="auto"/>
        <w:ind w:firstLine="708"/>
        <w:jc w:val="both"/>
        <w:rPr>
          <w:rFonts w:ascii="Calibri" w:eastAsia="Calibri" w:hAnsi="Calibri" w:cs="Calibri"/>
        </w:rPr>
      </w:pPr>
      <w:r>
        <w:rPr>
          <w:rFonts w:ascii="Calibri" w:eastAsia="Calibri" w:hAnsi="Calibri" w:cs="Calibri"/>
        </w:rPr>
        <w:t xml:space="preserve">Prihod od prodane vode za piće privredi i domaćinstvima ostvaren je u iznosu od 14.268.014,99 kn te je za 21% manji od prethodne godine kada je iznosio 18.054.881,04 kn. Smanjenje prihoda rezultat je smanjene potrošnje vode privrede za 33% i domaćinstva za 5%. </w:t>
      </w:r>
    </w:p>
    <w:p w14:paraId="4A193306" w14:textId="77777777" w:rsidR="000B6D3B" w:rsidRDefault="000B6D3B" w:rsidP="000B6D3B">
      <w:pPr>
        <w:numPr>
          <w:ilvl w:val="12"/>
          <w:numId w:val="0"/>
        </w:numPr>
        <w:spacing w:after="0" w:line="240" w:lineRule="auto"/>
        <w:jc w:val="both"/>
        <w:rPr>
          <w:rFonts w:ascii="Calibri" w:eastAsia="Calibri" w:hAnsi="Calibri" w:cs="Calibri"/>
        </w:rPr>
      </w:pPr>
      <w:r>
        <w:rPr>
          <w:rFonts w:ascii="Calibri" w:eastAsia="Calibri" w:hAnsi="Calibri" w:cs="Calibri"/>
        </w:rPr>
        <w:t>Zbog povećanja broja korisnika na vodi veći je prihod ostvaren od fiksnog dijela cijene vode za 2% (2020. ostvareno je 15.152.137,44 kn, a 2019. godine 14.806.712,16 kn).</w:t>
      </w:r>
    </w:p>
    <w:p w14:paraId="43C7503C" w14:textId="77777777" w:rsidR="000B6D3B" w:rsidRDefault="000B6D3B" w:rsidP="000B6D3B">
      <w:pPr>
        <w:numPr>
          <w:ilvl w:val="12"/>
          <w:numId w:val="0"/>
        </w:numPr>
        <w:spacing w:after="0" w:line="240" w:lineRule="auto"/>
        <w:ind w:firstLine="709"/>
        <w:jc w:val="both"/>
        <w:rPr>
          <w:rFonts w:ascii="Calibri" w:eastAsia="Calibri" w:hAnsi="Calibri" w:cs="Calibri"/>
        </w:rPr>
      </w:pPr>
      <w:r>
        <w:rPr>
          <w:rFonts w:ascii="Calibri" w:eastAsia="Calibri" w:hAnsi="Calibri" w:cs="Calibri"/>
        </w:rPr>
        <w:t xml:space="preserve">Prihod varijabilnog dijela cijene odvodnje otpadnih voda manji je za 26% (2020. ostvareno je 4.421.339,71 kn, a 2019. godine 5.935.498,83 kn) što je rezultat manje potrošnje privrede za 40% dok je potrošnja domaćinstva za 1% veća od prethodne godine. </w:t>
      </w:r>
    </w:p>
    <w:p w14:paraId="505DEC95" w14:textId="77777777" w:rsidR="000B6D3B" w:rsidRDefault="000B6D3B" w:rsidP="000B6D3B">
      <w:pPr>
        <w:numPr>
          <w:ilvl w:val="12"/>
          <w:numId w:val="0"/>
        </w:numPr>
        <w:spacing w:after="0" w:line="240" w:lineRule="auto"/>
        <w:jc w:val="both"/>
        <w:rPr>
          <w:rFonts w:ascii="Calibri" w:eastAsia="Calibri" w:hAnsi="Calibri" w:cs="Calibri"/>
        </w:rPr>
      </w:pPr>
      <w:r>
        <w:rPr>
          <w:rFonts w:ascii="Calibri" w:eastAsia="Calibri" w:hAnsi="Calibri" w:cs="Calibri"/>
        </w:rPr>
        <w:t xml:space="preserve">Zbog povećanja ukupnog broja korisnika odvodnje otpadnih voda prihod ostvaren po fiksnom dijelu cijene odvodnje veći je za 9% (u 2020. godini iznosio je 3.843.477,82 kn, a 2019. godine 3.535.607,40 kn).  </w:t>
      </w:r>
    </w:p>
    <w:p w14:paraId="3E49E15A" w14:textId="77777777" w:rsidR="000B6D3B" w:rsidRDefault="000B6D3B" w:rsidP="000B6D3B">
      <w:pPr>
        <w:numPr>
          <w:ilvl w:val="12"/>
          <w:numId w:val="0"/>
        </w:numPr>
        <w:spacing w:after="0" w:line="240" w:lineRule="auto"/>
        <w:ind w:firstLine="709"/>
        <w:jc w:val="both"/>
        <w:rPr>
          <w:rFonts w:ascii="Calibri" w:eastAsia="Calibri" w:hAnsi="Calibri" w:cs="Calibri"/>
        </w:rPr>
      </w:pPr>
      <w:r>
        <w:rPr>
          <w:rFonts w:ascii="Calibri" w:eastAsia="Calibri" w:hAnsi="Calibri" w:cs="Calibri"/>
        </w:rPr>
        <w:t xml:space="preserve">U 2020. godini prihod pražnjenja, odvoza i zbrinjavanja fekalija iz septičkih jama manji su  za 28% u odnosu na prošlu godinu (u 2020. ostvareno je 1.277.662,26 kn, a 2019. godine 1.776.111,54 kn). </w:t>
      </w:r>
    </w:p>
    <w:p w14:paraId="33570FA4" w14:textId="77777777" w:rsidR="000B6D3B" w:rsidRDefault="000B6D3B" w:rsidP="000B6D3B">
      <w:pPr>
        <w:numPr>
          <w:ilvl w:val="12"/>
          <w:numId w:val="0"/>
        </w:numPr>
        <w:spacing w:after="0" w:line="240" w:lineRule="auto"/>
        <w:ind w:firstLine="709"/>
        <w:jc w:val="both"/>
        <w:rPr>
          <w:rFonts w:ascii="Calibri" w:eastAsia="Calibri" w:hAnsi="Calibri" w:cs="Calibri"/>
        </w:rPr>
      </w:pPr>
    </w:p>
    <w:p w14:paraId="2DFFC72B" w14:textId="77777777" w:rsidR="000B6D3B" w:rsidRDefault="000B6D3B" w:rsidP="000B6D3B">
      <w:pPr>
        <w:spacing w:after="0" w:line="240" w:lineRule="auto"/>
        <w:ind w:firstLine="708"/>
        <w:jc w:val="both"/>
        <w:rPr>
          <w:rFonts w:ascii="Calibri" w:eastAsia="Calibri" w:hAnsi="Calibri" w:cs="Calibri"/>
        </w:rPr>
      </w:pPr>
      <w:r>
        <w:rPr>
          <w:rFonts w:ascii="Calibri" w:eastAsia="Calibri" w:hAnsi="Calibri" w:cs="Calibri"/>
          <w:b/>
        </w:rPr>
        <w:t>Ostali poslovni prihodi</w:t>
      </w:r>
      <w:r>
        <w:rPr>
          <w:rFonts w:ascii="Calibri" w:eastAsia="Calibri" w:hAnsi="Calibri" w:cs="Calibri"/>
        </w:rPr>
        <w:t xml:space="preserve"> u 2020. godini iznose 13.614.022,80 kn  (2019. godine 13.611.255,75 kn) te čine 24,6% ukupnih prihoda i na razini su prošlogodišnjih. </w:t>
      </w:r>
    </w:p>
    <w:p w14:paraId="48888620"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 xml:space="preserve">U ostalim poslovnim prihodima iskazan  je prihod </w:t>
      </w:r>
      <w:r>
        <w:rPr>
          <w:rFonts w:ascii="Calibri" w:eastAsia="Times New Roman" w:hAnsi="Calibri" w:cs="Calibri"/>
          <w:bCs/>
          <w:iCs/>
        </w:rPr>
        <w:t xml:space="preserve">od usluga pruženih drugim pravnim osobama u ukupnom iznosu od 7.031.894,13 kn (u istom iznosu iskazani su i troškovi), a odnose se na izgradnju i stručni nadzor nad izgradnjom elektroničke komunikacijske mreže (EKM) u iznosu od 6.729.380,13 kn te druge radove u iznosu od 302.514,00 kn. Izgradnja EKM mreže temelji se na Ugovoru o međusobnim odnosima u izgradnji elektroničke komunikacijske mreže otoka Krka u istom infrastrukturnom kanalu fekalne kanalizacije EU projekta. Sukladno tom ugovoru izgrađena EKM mreža biti će vlasništvo društva Ponikve eko otok Krk koje radove i financira. </w:t>
      </w:r>
    </w:p>
    <w:p w14:paraId="388E5ABC" w14:textId="77777777" w:rsidR="000B6D3B" w:rsidRDefault="000B6D3B" w:rsidP="000B6D3B">
      <w:pPr>
        <w:spacing w:after="0" w:line="240" w:lineRule="auto"/>
        <w:jc w:val="both"/>
        <w:rPr>
          <w:rFonts w:ascii="Calibri" w:eastAsia="Calibri" w:hAnsi="Calibri" w:cs="Calibri"/>
        </w:rPr>
      </w:pPr>
      <w:r>
        <w:rPr>
          <w:rFonts w:ascii="Calibri" w:eastAsia="Calibri" w:hAnsi="Calibri" w:cs="Calibri"/>
        </w:rPr>
        <w:t>Preostali iznos ostalih poslovnih prihoda (6.582.128,67 kn) odnosi se na prihode naplaćenih ranije utuženih potraživanja (111.398,09 kn), naknade šteta od osiguranja a (168.800,88 kn), prihod u visini amortizacije imovine nabavljene iz namjenskih sredstava (5.682.656,44 kn), prihodi za pokriće troškova kamata (49.450,74 kn) po kreditima koje se otplaćuju iz sredstava JLS i naknade za razvoj, prihoda za pokriće negativnih tečajnih razlika po podzajmu iz Projekta Jadran (1.013,24 kn), prihodi za pokriće kamata (</w:t>
      </w:r>
      <w:r>
        <w:rPr>
          <w:rFonts w:ascii="Calibri" w:eastAsia="Calibri" w:hAnsi="Calibri" w:cs="Calibri"/>
          <w:iCs/>
        </w:rPr>
        <w:t>307.988,76 kn) i bankarske naknade (81.550,38 kn)</w:t>
      </w:r>
      <w:r>
        <w:rPr>
          <w:rFonts w:ascii="Calibri" w:eastAsia="Calibri" w:hAnsi="Calibri" w:cs="Calibri"/>
        </w:rPr>
        <w:t xml:space="preserve"> za kredit za EU projekt koje se otplaćuju iz sredstava JLS, prihod od najma (58.000,00 kn), prihodi od subvencija Ministarstva za prodanu vodu domaćinstvima koja nemaju mogućnost korištenja javne vodovodne mreže već se voda dostavlja putem autocisterni (27.764,00 kn),  prodaja vozila (34.400,00 kn), pokriće primitka u naravi (30.138,66 kn) i ostali prihodi (28.967,48 kn).</w:t>
      </w:r>
    </w:p>
    <w:p w14:paraId="483BA15C" w14:textId="77777777" w:rsidR="000B6D3B" w:rsidRDefault="000B6D3B" w:rsidP="000B6D3B">
      <w:pPr>
        <w:numPr>
          <w:ilvl w:val="12"/>
          <w:numId w:val="0"/>
        </w:numPr>
        <w:spacing w:after="0" w:line="240" w:lineRule="auto"/>
        <w:ind w:firstLine="709"/>
        <w:jc w:val="both"/>
        <w:rPr>
          <w:rFonts w:ascii="Calibri" w:eastAsia="Calibri" w:hAnsi="Calibri" w:cs="Calibri"/>
        </w:rPr>
      </w:pPr>
    </w:p>
    <w:p w14:paraId="32AA0FB4" w14:textId="0FB09097" w:rsidR="000B6D3B" w:rsidRDefault="000B6D3B" w:rsidP="000B6D3B">
      <w:pPr>
        <w:numPr>
          <w:ilvl w:val="12"/>
          <w:numId w:val="0"/>
        </w:numPr>
        <w:spacing w:after="0" w:line="240" w:lineRule="auto"/>
        <w:ind w:firstLine="708"/>
        <w:jc w:val="both"/>
        <w:rPr>
          <w:rFonts w:ascii="Calibri" w:eastAsia="Calibri" w:hAnsi="Calibri" w:cs="Calibri"/>
        </w:rPr>
      </w:pPr>
      <w:r>
        <w:rPr>
          <w:rFonts w:ascii="Calibri" w:eastAsia="Calibri" w:hAnsi="Calibri" w:cs="Calibri"/>
          <w:b/>
        </w:rPr>
        <w:t>Financijski prihodi</w:t>
      </w:r>
      <w:r>
        <w:rPr>
          <w:rFonts w:ascii="Calibri" w:eastAsia="Calibri" w:hAnsi="Calibri" w:cs="Calibri"/>
        </w:rPr>
        <w:t xml:space="preserve"> ostvareni su u iznosu od 312.406,89 kn i čine 0,5% ukupnih prihoda, a sastoje se od: obračunatih zateznih kamata na zakašnjela plaćanja, kamata po viđenju, kamata od danih pozajmica radnicima te pozitivnih tečajnih razlika.</w:t>
      </w:r>
    </w:p>
    <w:p w14:paraId="03A7A695" w14:textId="51AE5EAC" w:rsidR="00A47DC5" w:rsidRDefault="00A47DC5" w:rsidP="000B6D3B">
      <w:pPr>
        <w:numPr>
          <w:ilvl w:val="12"/>
          <w:numId w:val="0"/>
        </w:numPr>
        <w:spacing w:after="0" w:line="240" w:lineRule="auto"/>
        <w:ind w:firstLine="708"/>
        <w:jc w:val="both"/>
        <w:rPr>
          <w:rFonts w:ascii="Calibri" w:eastAsia="Calibri" w:hAnsi="Calibri" w:cs="Calibri"/>
        </w:rPr>
      </w:pPr>
    </w:p>
    <w:p w14:paraId="2972BD55" w14:textId="31D63F58" w:rsidR="00A47DC5" w:rsidRDefault="00A47DC5" w:rsidP="000B6D3B">
      <w:pPr>
        <w:numPr>
          <w:ilvl w:val="12"/>
          <w:numId w:val="0"/>
        </w:numPr>
        <w:spacing w:after="0" w:line="240" w:lineRule="auto"/>
        <w:ind w:firstLine="708"/>
        <w:jc w:val="both"/>
        <w:rPr>
          <w:rFonts w:ascii="Calibri" w:eastAsia="Calibri" w:hAnsi="Calibri" w:cs="Calibri"/>
        </w:rPr>
      </w:pPr>
    </w:p>
    <w:p w14:paraId="0348E82B" w14:textId="77777777" w:rsidR="00A47DC5" w:rsidRDefault="00A47DC5" w:rsidP="000B6D3B">
      <w:pPr>
        <w:numPr>
          <w:ilvl w:val="12"/>
          <w:numId w:val="0"/>
        </w:numPr>
        <w:spacing w:after="0" w:line="240" w:lineRule="auto"/>
        <w:ind w:firstLine="708"/>
        <w:jc w:val="both"/>
        <w:rPr>
          <w:rFonts w:ascii="Calibri" w:eastAsia="Calibri" w:hAnsi="Calibri" w:cs="Calibri"/>
        </w:rPr>
      </w:pPr>
    </w:p>
    <w:p w14:paraId="41293898" w14:textId="77777777" w:rsidR="000B6D3B" w:rsidRDefault="000B6D3B" w:rsidP="000B6D3B">
      <w:pPr>
        <w:numPr>
          <w:ilvl w:val="12"/>
          <w:numId w:val="0"/>
        </w:numPr>
        <w:spacing w:after="0" w:line="240" w:lineRule="auto"/>
        <w:jc w:val="both"/>
        <w:rPr>
          <w:rFonts w:ascii="Calibri" w:eastAsia="Calibri" w:hAnsi="Calibri" w:cs="Calibri"/>
          <w:b/>
          <w:bCs/>
          <w:iCs/>
        </w:rPr>
      </w:pPr>
      <w:r>
        <w:rPr>
          <w:rFonts w:ascii="Calibri" w:eastAsia="Calibri" w:hAnsi="Calibri" w:cs="Calibri"/>
          <w:b/>
          <w:bCs/>
          <w:iCs/>
        </w:rPr>
        <w:lastRenderedPageBreak/>
        <w:t>2.2.</w:t>
      </w:r>
      <w:r>
        <w:rPr>
          <w:rFonts w:ascii="Calibri" w:eastAsia="Calibri" w:hAnsi="Calibri" w:cs="Calibri"/>
          <w:b/>
          <w:bCs/>
          <w:iCs/>
        </w:rPr>
        <w:tab/>
        <w:t xml:space="preserve">UKUPNI RASHODI </w:t>
      </w:r>
    </w:p>
    <w:p w14:paraId="656CEEA4" w14:textId="77777777" w:rsidR="000B6D3B" w:rsidRDefault="000B6D3B" w:rsidP="000B6D3B">
      <w:pPr>
        <w:numPr>
          <w:ilvl w:val="12"/>
          <w:numId w:val="0"/>
        </w:numPr>
        <w:spacing w:after="0" w:line="240" w:lineRule="auto"/>
        <w:ind w:firstLine="708"/>
        <w:jc w:val="both"/>
        <w:rPr>
          <w:rFonts w:ascii="Calibri" w:eastAsia="Calibri" w:hAnsi="Calibri" w:cs="Calibri"/>
          <w:b/>
          <w:iCs/>
        </w:rPr>
      </w:pPr>
    </w:p>
    <w:p w14:paraId="1F0BF81A" w14:textId="77777777" w:rsidR="000B6D3B" w:rsidRDefault="000B6D3B" w:rsidP="000B6D3B">
      <w:pPr>
        <w:numPr>
          <w:ilvl w:val="12"/>
          <w:numId w:val="0"/>
        </w:numPr>
        <w:spacing w:after="0" w:line="240" w:lineRule="auto"/>
        <w:ind w:firstLine="708"/>
        <w:jc w:val="both"/>
        <w:rPr>
          <w:rFonts w:ascii="Calibri" w:eastAsia="Calibri" w:hAnsi="Calibri" w:cs="Calibri"/>
        </w:rPr>
      </w:pPr>
      <w:r>
        <w:rPr>
          <w:rFonts w:ascii="Calibri" w:eastAsia="Calibri" w:hAnsi="Calibri" w:cs="Calibri"/>
          <w:b/>
          <w:iCs/>
        </w:rPr>
        <w:t>Materijalni troškovi</w:t>
      </w:r>
      <w:r>
        <w:rPr>
          <w:rFonts w:ascii="Calibri" w:eastAsia="Calibri" w:hAnsi="Calibri" w:cs="Calibri"/>
          <w:iCs/>
        </w:rPr>
        <w:t xml:space="preserve"> u iznosu od </w:t>
      </w:r>
      <w:r>
        <w:rPr>
          <w:rFonts w:ascii="Calibri" w:eastAsia="Times New Roman" w:hAnsi="Calibri" w:cs="Calibri"/>
          <w:iCs/>
        </w:rPr>
        <w:t>22.977.681,58</w:t>
      </w:r>
      <w:r>
        <w:rPr>
          <w:rFonts w:ascii="Calibri" w:eastAsia="Calibri" w:hAnsi="Calibri" w:cs="Calibri"/>
          <w:iCs/>
        </w:rPr>
        <w:t xml:space="preserve"> kn sudjeluju u ukupnim rashodima s 40,5% (2019. godine iznosili su 25.526.874,44 kn), a odnose se na troškove sirovina i materijala u iznosu od 8.359.310,75 kn (2019. godine 9.400.686,70 kn), te ostale vanjske troškove 14.618.370,83 kn (2019. godine 16.126.187,74 kn).</w:t>
      </w:r>
      <w:r>
        <w:rPr>
          <w:rFonts w:ascii="Calibri" w:eastAsia="Calibri" w:hAnsi="Calibri" w:cs="Calibri"/>
        </w:rPr>
        <w:t xml:space="preserve"> </w:t>
      </w:r>
    </w:p>
    <w:p w14:paraId="2939ADDA" w14:textId="77777777" w:rsidR="000B6D3B" w:rsidRDefault="000B6D3B" w:rsidP="000B6D3B">
      <w:pPr>
        <w:numPr>
          <w:ilvl w:val="12"/>
          <w:numId w:val="0"/>
        </w:numPr>
        <w:spacing w:after="0" w:line="240" w:lineRule="auto"/>
        <w:ind w:firstLine="708"/>
        <w:jc w:val="both"/>
        <w:rPr>
          <w:rFonts w:ascii="Calibri" w:eastAsia="Calibri" w:hAnsi="Calibri" w:cs="Calibri"/>
          <w:iCs/>
        </w:rPr>
      </w:pPr>
      <w:r>
        <w:rPr>
          <w:rFonts w:ascii="Calibri" w:eastAsia="Calibri" w:hAnsi="Calibri" w:cs="Calibri"/>
          <w:iCs/>
        </w:rPr>
        <w:t xml:space="preserve">Troškovi sirovina i materijala manji su od prošlogodišnjih za 11%, a čine ih: trošak materijala, rezervnih dijelova i sitnog inventara (4.296.672,43 kn), trošak kupljene vode s kopna (859.376,60 kn), trošak energije, goriva i maziva (3.115.938,88 kn), trošak uredskog materijala i zaštitne odjeće (87.322,84 kn).  </w:t>
      </w:r>
    </w:p>
    <w:p w14:paraId="24CF44B6" w14:textId="77777777" w:rsidR="000B6D3B" w:rsidRDefault="000B6D3B" w:rsidP="000B6D3B">
      <w:pPr>
        <w:numPr>
          <w:ilvl w:val="12"/>
          <w:numId w:val="0"/>
        </w:numPr>
        <w:spacing w:after="0" w:line="240" w:lineRule="auto"/>
        <w:ind w:firstLine="708"/>
        <w:jc w:val="both"/>
        <w:rPr>
          <w:rFonts w:ascii="Calibri" w:eastAsia="Calibri" w:hAnsi="Calibri" w:cs="Calibri"/>
          <w:iCs/>
        </w:rPr>
      </w:pPr>
    </w:p>
    <w:p w14:paraId="3E8BBCA7" w14:textId="77777777" w:rsidR="000B6D3B" w:rsidRDefault="000B6D3B" w:rsidP="000B6D3B">
      <w:pPr>
        <w:spacing w:after="0" w:line="240" w:lineRule="auto"/>
        <w:ind w:firstLine="708"/>
        <w:jc w:val="both"/>
        <w:rPr>
          <w:rFonts w:ascii="Calibri" w:eastAsia="Times New Roman" w:hAnsi="Calibri" w:cs="Calibri"/>
          <w:bCs/>
          <w:iCs/>
        </w:rPr>
      </w:pPr>
      <w:bookmarkStart w:id="0" w:name="_Hlk72760907"/>
      <w:r>
        <w:rPr>
          <w:rFonts w:ascii="Calibri" w:eastAsia="Calibri" w:hAnsi="Calibri" w:cs="Calibri"/>
          <w:b/>
          <w:bCs/>
          <w:iCs/>
        </w:rPr>
        <w:t>Ostali vanjski troškovi</w:t>
      </w:r>
      <w:r>
        <w:rPr>
          <w:rFonts w:ascii="Calibri" w:eastAsia="Calibri" w:hAnsi="Calibri" w:cs="Calibri"/>
          <w:iCs/>
        </w:rPr>
        <w:t xml:space="preserve"> manji su od prošlogodišnjih za 9,4%. U istima se ističe trošak u iznosu od </w:t>
      </w:r>
      <w:r>
        <w:rPr>
          <w:rFonts w:ascii="Calibri" w:eastAsia="Times New Roman" w:hAnsi="Calibri" w:cs="Calibri"/>
          <w:bCs/>
          <w:iCs/>
        </w:rPr>
        <w:t>7.031.894,13 kn</w:t>
      </w:r>
      <w:r>
        <w:rPr>
          <w:rFonts w:ascii="Calibri" w:eastAsia="Calibri" w:hAnsi="Calibri" w:cs="Calibri"/>
          <w:iCs/>
        </w:rPr>
        <w:t xml:space="preserve"> za usluge pružene drugim pravnim osobama po računima izvođača i nadzora, a koji je u </w:t>
      </w:r>
      <w:r>
        <w:rPr>
          <w:rFonts w:ascii="Calibri" w:eastAsia="Times New Roman" w:hAnsi="Calibri" w:cs="Calibri"/>
          <w:bCs/>
          <w:iCs/>
        </w:rPr>
        <w:t>istom iznosu iskazan i u prihodima</w:t>
      </w:r>
      <w:r>
        <w:rPr>
          <w:rFonts w:ascii="Calibri" w:eastAsia="Calibri" w:hAnsi="Calibri" w:cs="Calibri"/>
          <w:iCs/>
        </w:rPr>
        <w:t xml:space="preserve"> (</w:t>
      </w:r>
      <w:r>
        <w:rPr>
          <w:rFonts w:ascii="Calibri" w:eastAsia="Times New Roman" w:hAnsi="Calibri" w:cs="Calibri"/>
          <w:bCs/>
          <w:iCs/>
        </w:rPr>
        <w:t xml:space="preserve">6.729.380,13 kn usluga izgradnje EKM mreže u istom  infrastrukturnom kanalu fekalne kanalizacije EU projekta te 302.514,00 kn za druge radove). </w:t>
      </w:r>
    </w:p>
    <w:p w14:paraId="11D137E6" w14:textId="77777777" w:rsidR="000B6D3B" w:rsidRDefault="000B6D3B" w:rsidP="000B6D3B">
      <w:pPr>
        <w:spacing w:after="0" w:line="240" w:lineRule="auto"/>
        <w:jc w:val="both"/>
        <w:rPr>
          <w:rFonts w:ascii="Calibri" w:eastAsia="Calibri" w:hAnsi="Calibri" w:cs="Calibri"/>
          <w:iCs/>
        </w:rPr>
      </w:pPr>
      <w:r>
        <w:rPr>
          <w:rFonts w:ascii="Calibri" w:eastAsia="Calibri" w:hAnsi="Calibri" w:cs="Calibri"/>
        </w:rPr>
        <w:t xml:space="preserve">Osim navedenog, u ostalim </w:t>
      </w:r>
      <w:r>
        <w:rPr>
          <w:rFonts w:ascii="Calibri" w:eastAsia="Calibri" w:hAnsi="Calibri" w:cs="Calibri"/>
          <w:iCs/>
        </w:rPr>
        <w:t>vanjskim troškovima ističu se usluge održavanja (2.102.773,08 kn - 42% manje od 2019. godine), administrativno računovodstveni poslovi (3.559.455,08 kn) te ostale usluge (intelektualne, promidžba, zakupnine, zaštita na radu, sudski troškovi i pristojbe i slično – 1.924.248,54 kn). Dio ovih troškova (popravci pumpi te popravci vozila i opreme) pokriven je iz naknada šteta od osiguranja i nalazi se u prihodima.</w:t>
      </w:r>
    </w:p>
    <w:p w14:paraId="225A353E" w14:textId="77777777" w:rsidR="000B6D3B" w:rsidRDefault="000B6D3B" w:rsidP="000B6D3B">
      <w:pPr>
        <w:spacing w:after="0" w:line="240" w:lineRule="auto"/>
        <w:jc w:val="both"/>
        <w:rPr>
          <w:rFonts w:ascii="Calibri" w:eastAsia="Calibri" w:hAnsi="Calibri" w:cs="Calibri"/>
        </w:rPr>
      </w:pPr>
    </w:p>
    <w:bookmarkEnd w:id="0"/>
    <w:p w14:paraId="79B95852" w14:textId="77777777" w:rsidR="000B6D3B" w:rsidRDefault="000B6D3B" w:rsidP="000B6D3B">
      <w:pPr>
        <w:spacing w:after="0" w:line="240" w:lineRule="auto"/>
        <w:ind w:right="92" w:firstLine="708"/>
        <w:jc w:val="both"/>
        <w:rPr>
          <w:rFonts w:ascii="Calibri" w:eastAsia="Calibri" w:hAnsi="Calibri" w:cs="Calibri"/>
          <w:iCs/>
        </w:rPr>
      </w:pPr>
      <w:r>
        <w:rPr>
          <w:rFonts w:ascii="Calibri" w:eastAsia="Calibri" w:hAnsi="Calibri" w:cs="Calibri"/>
          <w:b/>
          <w:iCs/>
        </w:rPr>
        <w:t>Troškovi osoblja</w:t>
      </w:r>
      <w:r>
        <w:rPr>
          <w:rFonts w:ascii="Calibri" w:eastAsia="Calibri" w:hAnsi="Calibri" w:cs="Calibri"/>
          <w:iCs/>
        </w:rPr>
        <w:t xml:space="preserve"> u iznosu od 10.716.309,70 kn (2018. godine 11.521.936,28 kn) sudjeluju u ukupnim rashodima s 18,9%. Prosječna bruto plaća u 2020 . godini iznosila je 8.752,94 kn, a neto 6.545,32 kn, dok je u 2019. godini prosječna bruto plaća iznosila 9.158,08 kn, a neto 6.752,73 kn. </w:t>
      </w:r>
    </w:p>
    <w:p w14:paraId="567E48F5" w14:textId="77777777" w:rsidR="000B6D3B" w:rsidRDefault="000B6D3B" w:rsidP="000B6D3B">
      <w:pPr>
        <w:spacing w:after="0" w:line="240" w:lineRule="auto"/>
        <w:ind w:right="92"/>
        <w:jc w:val="both"/>
        <w:rPr>
          <w:rFonts w:ascii="Calibri" w:eastAsia="Calibri" w:hAnsi="Calibri" w:cs="Calibri"/>
          <w:bCs/>
          <w:iCs/>
        </w:rPr>
      </w:pPr>
    </w:p>
    <w:p w14:paraId="45C1D2EB" w14:textId="77777777" w:rsidR="000B6D3B" w:rsidRDefault="000B6D3B" w:rsidP="000B6D3B">
      <w:pPr>
        <w:spacing w:after="0" w:line="240" w:lineRule="auto"/>
        <w:ind w:right="92" w:firstLine="708"/>
        <w:jc w:val="both"/>
        <w:rPr>
          <w:rFonts w:ascii="Calibri" w:eastAsia="Calibri" w:hAnsi="Calibri" w:cs="Calibri"/>
          <w:iCs/>
        </w:rPr>
      </w:pPr>
      <w:r>
        <w:rPr>
          <w:rFonts w:ascii="Calibri" w:eastAsia="Calibri" w:hAnsi="Calibri" w:cs="Calibri"/>
          <w:b/>
          <w:iCs/>
        </w:rPr>
        <w:t xml:space="preserve">Troškovi amortizacije </w:t>
      </w:r>
      <w:r>
        <w:rPr>
          <w:rFonts w:ascii="Calibri" w:eastAsia="Calibri" w:hAnsi="Calibri" w:cs="Calibri"/>
          <w:iCs/>
        </w:rPr>
        <w:t xml:space="preserve">u 2020. godini iznose </w:t>
      </w:r>
      <w:r>
        <w:rPr>
          <w:rFonts w:ascii="Calibri" w:eastAsia="Times New Roman" w:hAnsi="Calibri" w:cs="Calibri"/>
          <w:iCs/>
        </w:rPr>
        <w:t>19.801.153,70</w:t>
      </w:r>
      <w:r>
        <w:rPr>
          <w:rFonts w:ascii="Calibri" w:eastAsia="Calibri" w:hAnsi="Calibri" w:cs="Calibri"/>
          <w:iCs/>
        </w:rPr>
        <w:t xml:space="preserve"> kn (2019. godine 19.553.474,33 kn) i sudjeluju u ukupnim rashodima s 34,9% .</w:t>
      </w:r>
    </w:p>
    <w:p w14:paraId="37C55B23" w14:textId="77777777" w:rsidR="000B6D3B" w:rsidRDefault="000B6D3B" w:rsidP="000B6D3B">
      <w:pPr>
        <w:tabs>
          <w:tab w:val="left" w:pos="-180"/>
        </w:tabs>
        <w:spacing w:after="0" w:line="240" w:lineRule="auto"/>
        <w:ind w:right="140"/>
        <w:jc w:val="both"/>
        <w:rPr>
          <w:rFonts w:ascii="Calibri" w:eastAsia="Calibri" w:hAnsi="Calibri" w:cs="Calibri"/>
          <w:iCs/>
        </w:rPr>
      </w:pPr>
      <w:r>
        <w:rPr>
          <w:rFonts w:ascii="Calibri" w:eastAsia="Calibri" w:hAnsi="Calibri" w:cs="Calibri"/>
          <w:iCs/>
        </w:rPr>
        <w:t>Društvo je iskazalo prihod u visini obračunate amortizacije imovine nabavljene iz sredstava potpora u iznosu 5.682.656,44 kn (u 2019. godini 5.549.406,05 kn). Efekt na rezultat Društva iznosi 14.118.497,26 kn.</w:t>
      </w:r>
    </w:p>
    <w:p w14:paraId="2946186C" w14:textId="77777777" w:rsidR="000B6D3B" w:rsidRDefault="000B6D3B" w:rsidP="000B6D3B">
      <w:pPr>
        <w:tabs>
          <w:tab w:val="left" w:pos="708"/>
          <w:tab w:val="center" w:pos="4536"/>
          <w:tab w:val="right" w:pos="9072"/>
        </w:tabs>
        <w:spacing w:after="0" w:line="240" w:lineRule="auto"/>
        <w:jc w:val="both"/>
        <w:rPr>
          <w:rFonts w:ascii="Calibri" w:eastAsia="Times New Roman" w:hAnsi="Calibri" w:cs="Calibri"/>
        </w:rPr>
      </w:pPr>
    </w:p>
    <w:p w14:paraId="01239E63" w14:textId="77777777" w:rsidR="000B6D3B" w:rsidRDefault="000B6D3B" w:rsidP="000B6D3B">
      <w:pPr>
        <w:spacing w:after="0" w:line="240" w:lineRule="auto"/>
        <w:ind w:right="92" w:firstLine="708"/>
        <w:jc w:val="both"/>
        <w:rPr>
          <w:rFonts w:ascii="Calibri" w:eastAsia="Calibri" w:hAnsi="Calibri" w:cs="Calibri"/>
          <w:iCs/>
        </w:rPr>
      </w:pPr>
      <w:r>
        <w:rPr>
          <w:rFonts w:ascii="Calibri" w:eastAsia="Calibri" w:hAnsi="Calibri" w:cs="Calibri"/>
          <w:b/>
          <w:iCs/>
        </w:rPr>
        <w:t>Ostali troškovi poslovanja</w:t>
      </w:r>
      <w:r>
        <w:rPr>
          <w:rFonts w:ascii="Calibri" w:eastAsia="Calibri" w:hAnsi="Calibri" w:cs="Calibri"/>
          <w:iCs/>
        </w:rPr>
        <w:t xml:space="preserve"> iznose 1.429.204,39 kn (2019. godine 2.083.505,52 kn) i sudjeluju u ukupnim rashodima s 2,5%. Navedeni troškovi obuhvaćaju: naknade zaposlenicima (prijevoz, prigodna nagrada, pomoći i slično – 475.500,03 kn),  premije osiguranja (424.189,98 kn), bankarske usluge i provizije (212.618,24 kn), koncesijske naknade na zahvaćanu vodu (162.233,57 kn) te ostale troškove (reprezentacija, porezi i doprinosi koji ne ovise o poslovnom rezultatu, ugovori o djelu, stručno obrazovanje – 154.662,57 kn). </w:t>
      </w:r>
    </w:p>
    <w:p w14:paraId="4E7FE374" w14:textId="77777777" w:rsidR="000B6D3B" w:rsidRDefault="000B6D3B" w:rsidP="000B6D3B">
      <w:pPr>
        <w:spacing w:after="0" w:line="240" w:lineRule="auto"/>
        <w:ind w:right="92"/>
        <w:jc w:val="both"/>
        <w:rPr>
          <w:rFonts w:ascii="Calibri" w:eastAsia="Calibri" w:hAnsi="Calibri" w:cs="Calibri"/>
          <w:iCs/>
        </w:rPr>
      </w:pPr>
    </w:p>
    <w:p w14:paraId="1B45A86B" w14:textId="77777777" w:rsidR="000B6D3B" w:rsidRDefault="000B6D3B" w:rsidP="000B6D3B">
      <w:pPr>
        <w:spacing w:after="0" w:line="240" w:lineRule="auto"/>
        <w:ind w:firstLine="708"/>
        <w:jc w:val="both"/>
        <w:rPr>
          <w:rFonts w:ascii="Calibri" w:eastAsia="Calibri" w:hAnsi="Calibri" w:cs="Calibri"/>
          <w:iCs/>
        </w:rPr>
      </w:pPr>
      <w:r>
        <w:rPr>
          <w:rFonts w:ascii="Calibri" w:eastAsia="Calibri" w:hAnsi="Calibri" w:cs="Calibri"/>
          <w:b/>
          <w:iCs/>
        </w:rPr>
        <w:t>Troškovi vrijednosnog usklađenja i otpisa potraživanja</w:t>
      </w:r>
      <w:r>
        <w:rPr>
          <w:rFonts w:ascii="Calibri" w:eastAsia="Calibri" w:hAnsi="Calibri" w:cs="Calibri"/>
          <w:iCs/>
        </w:rPr>
        <w:t xml:space="preserve"> u 2020. godini</w:t>
      </w:r>
      <w:r>
        <w:rPr>
          <w:rFonts w:ascii="Calibri" w:eastAsia="Calibri" w:hAnsi="Calibri" w:cs="Calibri"/>
        </w:rPr>
        <w:t xml:space="preserve"> </w:t>
      </w:r>
      <w:r>
        <w:rPr>
          <w:rFonts w:ascii="Calibri" w:eastAsia="Calibri" w:hAnsi="Calibri" w:cs="Calibri"/>
          <w:iCs/>
        </w:rPr>
        <w:t xml:space="preserve"> iznose 319.962,31 kn (2019. godine 309.962,31 kn) i sudjeluju u ukupnim rashodima s 0,6%. Obuhvaćaju potraživanja za koja su pokrenuti ovršni postupci ili potraživanja koja su prijavljena u (pred)stečajnu nagodbu (294.830,63 kn) te</w:t>
      </w:r>
      <w:r>
        <w:rPr>
          <w:rFonts w:ascii="Calibri" w:eastAsia="Calibri" w:hAnsi="Calibri" w:cs="Calibri"/>
        </w:rPr>
        <w:t xml:space="preserve"> o</w:t>
      </w:r>
      <w:r>
        <w:rPr>
          <w:rFonts w:ascii="Calibri" w:eastAsia="Calibri" w:hAnsi="Calibri" w:cs="Calibri"/>
          <w:iCs/>
        </w:rPr>
        <w:t xml:space="preserve">tpis nenaplativih potraživanja (25.131,68 kn). </w:t>
      </w:r>
    </w:p>
    <w:p w14:paraId="5A5AD68E" w14:textId="77777777" w:rsidR="000B6D3B" w:rsidRDefault="000B6D3B" w:rsidP="000B6D3B">
      <w:pPr>
        <w:spacing w:after="0" w:line="240" w:lineRule="auto"/>
        <w:ind w:right="92"/>
        <w:jc w:val="both"/>
        <w:rPr>
          <w:rFonts w:ascii="Calibri" w:eastAsia="Calibri" w:hAnsi="Calibri" w:cs="Calibri"/>
          <w:iCs/>
        </w:rPr>
      </w:pPr>
    </w:p>
    <w:p w14:paraId="69E5DC93" w14:textId="77777777" w:rsidR="000B6D3B" w:rsidRDefault="000B6D3B" w:rsidP="000B6D3B">
      <w:pPr>
        <w:spacing w:after="0" w:line="240" w:lineRule="auto"/>
        <w:ind w:right="92" w:firstLine="708"/>
        <w:jc w:val="both"/>
        <w:rPr>
          <w:rFonts w:ascii="Calibri" w:eastAsia="Calibri" w:hAnsi="Calibri" w:cs="Calibri"/>
          <w:iCs/>
        </w:rPr>
      </w:pPr>
      <w:r>
        <w:rPr>
          <w:rFonts w:ascii="Calibri" w:eastAsia="Calibri" w:hAnsi="Calibri" w:cs="Calibri"/>
          <w:b/>
          <w:iCs/>
        </w:rPr>
        <w:t>Ostali poslovni rashodi</w:t>
      </w:r>
      <w:r>
        <w:rPr>
          <w:rFonts w:ascii="Calibri" w:eastAsia="Calibri" w:hAnsi="Calibri" w:cs="Calibri"/>
          <w:iCs/>
        </w:rPr>
        <w:t xml:space="preserve"> u iznosu od 57.949,63 kn (2019. godine 503.713,21 kn) sudjeluju u ukupnim rashodima sa 0,1%. Odnose se na  naknadu šteta, prekršajne kazne i neotpisanu vrijednost rashodovane imovine.</w:t>
      </w:r>
    </w:p>
    <w:p w14:paraId="324BEF2F" w14:textId="77777777" w:rsidR="000B6D3B" w:rsidRDefault="000B6D3B" w:rsidP="000B6D3B">
      <w:pPr>
        <w:spacing w:after="0" w:line="240" w:lineRule="auto"/>
        <w:ind w:right="92"/>
        <w:jc w:val="both"/>
        <w:rPr>
          <w:rFonts w:ascii="Calibri" w:eastAsia="Calibri" w:hAnsi="Calibri" w:cs="Calibri"/>
          <w:iCs/>
        </w:rPr>
      </w:pPr>
    </w:p>
    <w:p w14:paraId="2623BA9D" w14:textId="77777777" w:rsidR="000B6D3B" w:rsidRDefault="000B6D3B" w:rsidP="000B6D3B">
      <w:pPr>
        <w:numPr>
          <w:ilvl w:val="12"/>
          <w:numId w:val="0"/>
        </w:numPr>
        <w:spacing w:after="0" w:line="240" w:lineRule="auto"/>
        <w:ind w:firstLine="708"/>
        <w:jc w:val="both"/>
        <w:rPr>
          <w:rFonts w:ascii="Calibri" w:eastAsia="Calibri" w:hAnsi="Calibri" w:cs="Calibri"/>
          <w:iCs/>
        </w:rPr>
      </w:pPr>
      <w:r>
        <w:rPr>
          <w:rFonts w:ascii="Calibri" w:eastAsia="Calibri" w:hAnsi="Calibri" w:cs="Calibri"/>
          <w:b/>
          <w:iCs/>
        </w:rPr>
        <w:t>Financijski rashodi</w:t>
      </w:r>
      <w:r>
        <w:rPr>
          <w:rFonts w:ascii="Calibri" w:eastAsia="Calibri" w:hAnsi="Calibri" w:cs="Calibri"/>
          <w:iCs/>
        </w:rPr>
        <w:t xml:space="preserve"> u iznosu od 1.389.308,39 kn (2019. godine 801.274,77 kn) odnose se na kamate po kreditima (1.175.000,61 kn), negativne tečajne razlike (214.181,14 kn) te zatezne kamate na zakašnjela plaćanja (126,64 kn). Dio kamata po kreditima otplaćuju jedinice lokalne samouprave te je ostvaren i prihod od potpora za pokriće tih troškova u iznosu od 307.988,76 kn, a dio se otplaćuje iz </w:t>
      </w:r>
      <w:r>
        <w:rPr>
          <w:rFonts w:ascii="Calibri" w:eastAsia="Calibri" w:hAnsi="Calibri" w:cs="Calibri"/>
          <w:iCs/>
        </w:rPr>
        <w:lastRenderedPageBreak/>
        <w:t>prikupljenih sredstava naknade za razvoj te je ostvaren prihod za pokriće tih troškova u iznosu od 49.450,74 kn.</w:t>
      </w:r>
    </w:p>
    <w:p w14:paraId="43BAD906" w14:textId="1EFF5AE4" w:rsidR="000B6D3B" w:rsidRDefault="000B6D3B" w:rsidP="000B6D3B">
      <w:pPr>
        <w:numPr>
          <w:ilvl w:val="12"/>
          <w:numId w:val="0"/>
        </w:numPr>
        <w:spacing w:after="0" w:line="240" w:lineRule="auto"/>
        <w:jc w:val="both"/>
        <w:rPr>
          <w:rFonts w:ascii="Calibri" w:eastAsia="Calibri" w:hAnsi="Calibri" w:cs="Calibri"/>
          <w:iCs/>
        </w:rPr>
      </w:pPr>
      <w:r>
        <w:rPr>
          <w:rFonts w:ascii="Calibri" w:eastAsia="Calibri" w:hAnsi="Calibri" w:cs="Calibri"/>
          <w:iCs/>
        </w:rPr>
        <w:t>Financijski rashodi sudjeluju u ukupnim rashodima s 2,5%.</w:t>
      </w:r>
    </w:p>
    <w:p w14:paraId="454EA92F" w14:textId="77777777" w:rsidR="00A47DC5" w:rsidRDefault="00A47DC5" w:rsidP="000B6D3B">
      <w:pPr>
        <w:numPr>
          <w:ilvl w:val="12"/>
          <w:numId w:val="0"/>
        </w:numPr>
        <w:spacing w:after="0" w:line="240" w:lineRule="auto"/>
        <w:jc w:val="both"/>
        <w:rPr>
          <w:rFonts w:ascii="Calibri" w:eastAsia="Calibri" w:hAnsi="Calibri" w:cs="Calibri"/>
          <w:iCs/>
        </w:rPr>
      </w:pPr>
    </w:p>
    <w:p w14:paraId="735AE405" w14:textId="77777777" w:rsidR="000B6D3B" w:rsidRDefault="000B6D3B" w:rsidP="000B6D3B">
      <w:pPr>
        <w:numPr>
          <w:ilvl w:val="0"/>
          <w:numId w:val="3"/>
        </w:numPr>
        <w:spacing w:after="0" w:line="240" w:lineRule="auto"/>
        <w:contextualSpacing/>
        <w:jc w:val="both"/>
        <w:rPr>
          <w:rFonts w:ascii="Calibri" w:eastAsia="Times New Roman" w:hAnsi="Calibri" w:cs="Calibri"/>
          <w:b/>
          <w:iCs/>
          <w:sz w:val="24"/>
          <w:szCs w:val="24"/>
        </w:rPr>
      </w:pPr>
      <w:r>
        <w:rPr>
          <w:rFonts w:ascii="Calibri" w:eastAsia="Times New Roman" w:hAnsi="Calibri" w:cs="Calibri"/>
          <w:b/>
          <w:iCs/>
          <w:sz w:val="24"/>
          <w:szCs w:val="24"/>
        </w:rPr>
        <w:t>ZNAČAJNE INVESTICIJE</w:t>
      </w:r>
    </w:p>
    <w:p w14:paraId="00EA7946" w14:textId="77777777" w:rsidR="000B6D3B" w:rsidRDefault="000B6D3B" w:rsidP="000B6D3B">
      <w:pPr>
        <w:spacing w:after="0" w:line="240" w:lineRule="auto"/>
        <w:jc w:val="both"/>
        <w:rPr>
          <w:rFonts w:ascii="Calibri" w:eastAsia="Calibri" w:hAnsi="Calibri" w:cs="Calibri"/>
          <w:iCs/>
        </w:rPr>
      </w:pPr>
    </w:p>
    <w:p w14:paraId="3E3B2F32" w14:textId="77777777" w:rsidR="000B6D3B" w:rsidRDefault="000B6D3B" w:rsidP="000B6D3B">
      <w:pPr>
        <w:spacing w:after="0" w:line="240" w:lineRule="auto"/>
        <w:jc w:val="both"/>
        <w:rPr>
          <w:rFonts w:ascii="Calibri" w:eastAsia="Calibri" w:hAnsi="Calibri" w:cs="Calibri"/>
          <w:iCs/>
        </w:rPr>
      </w:pPr>
      <w:r>
        <w:rPr>
          <w:rFonts w:ascii="Calibri" w:eastAsia="Calibri" w:hAnsi="Calibri" w:cs="Calibri"/>
          <w:iCs/>
        </w:rPr>
        <w:t>U 2020. godini treba istaknuti  sljedeće investicije:</w:t>
      </w:r>
    </w:p>
    <w:p w14:paraId="7F8E76EA" w14:textId="77777777" w:rsidR="000B6D3B" w:rsidRDefault="000B6D3B" w:rsidP="000B6D3B">
      <w:pPr>
        <w:numPr>
          <w:ilvl w:val="12"/>
          <w:numId w:val="0"/>
        </w:numPr>
        <w:spacing w:after="0" w:line="240" w:lineRule="auto"/>
        <w:jc w:val="both"/>
        <w:rPr>
          <w:rFonts w:ascii="Calibri" w:eastAsia="Calibri" w:hAnsi="Calibri" w:cs="Calibri"/>
          <w:iCs/>
        </w:rPr>
      </w:pPr>
      <w:r>
        <w:rPr>
          <w:rFonts w:ascii="Calibri" w:eastAsia="Calibri" w:hAnsi="Calibri" w:cs="Calibri"/>
          <w:iCs/>
        </w:rPr>
        <w:t>- EU projekt „Projekt prikupljanja, pročišćavanja i odvodnje otpadnih voda na području otoka Krka“,</w:t>
      </w:r>
    </w:p>
    <w:p w14:paraId="1774EDF0" w14:textId="77777777" w:rsidR="000B6D3B" w:rsidRDefault="000B6D3B" w:rsidP="000B6D3B">
      <w:pPr>
        <w:numPr>
          <w:ilvl w:val="12"/>
          <w:numId w:val="0"/>
        </w:numPr>
        <w:spacing w:after="0" w:line="240" w:lineRule="auto"/>
        <w:jc w:val="both"/>
        <w:rPr>
          <w:rFonts w:ascii="Calibri" w:eastAsia="Calibri" w:hAnsi="Calibri" w:cs="Calibri"/>
          <w:iCs/>
        </w:rPr>
      </w:pPr>
      <w:r>
        <w:rPr>
          <w:rFonts w:ascii="Calibri" w:eastAsia="Calibri" w:hAnsi="Calibri" w:cs="Calibri"/>
          <w:iCs/>
        </w:rPr>
        <w:t>- projektna dokumentacija “Vodoopskrbni sustav Krka-podsustav Ponikve II faza“,</w:t>
      </w:r>
    </w:p>
    <w:p w14:paraId="7BD8DEA2" w14:textId="77777777" w:rsidR="000B6D3B" w:rsidRDefault="000B6D3B" w:rsidP="000B6D3B">
      <w:pPr>
        <w:numPr>
          <w:ilvl w:val="12"/>
          <w:numId w:val="0"/>
        </w:numPr>
        <w:spacing w:after="0" w:line="240" w:lineRule="auto"/>
        <w:jc w:val="both"/>
        <w:rPr>
          <w:rFonts w:ascii="Calibri" w:eastAsia="Calibri" w:hAnsi="Calibri" w:cs="Calibri"/>
          <w:iCs/>
        </w:rPr>
      </w:pPr>
      <w:r>
        <w:rPr>
          <w:rFonts w:ascii="Calibri" w:eastAsia="Calibri" w:hAnsi="Calibri" w:cs="Calibri"/>
          <w:iCs/>
        </w:rPr>
        <w:t>- rekonstrukcija i izgradnja transportnih cjevovoda.</w:t>
      </w:r>
    </w:p>
    <w:p w14:paraId="49E1F3DF" w14:textId="77777777" w:rsidR="000B6D3B" w:rsidRDefault="000B6D3B" w:rsidP="000B6D3B">
      <w:pPr>
        <w:numPr>
          <w:ilvl w:val="12"/>
          <w:numId w:val="0"/>
        </w:numPr>
        <w:spacing w:after="0" w:line="240" w:lineRule="auto"/>
        <w:jc w:val="both"/>
        <w:rPr>
          <w:rFonts w:ascii="Calibri" w:eastAsia="Calibri" w:hAnsi="Calibri" w:cs="Calibri"/>
          <w:iCs/>
          <w:highlight w:val="yellow"/>
        </w:rPr>
      </w:pPr>
    </w:p>
    <w:p w14:paraId="7C559823" w14:textId="77777777" w:rsidR="000B6D3B" w:rsidRDefault="000B6D3B" w:rsidP="000B6D3B">
      <w:pPr>
        <w:numPr>
          <w:ilvl w:val="12"/>
          <w:numId w:val="0"/>
        </w:numPr>
        <w:spacing w:after="0" w:line="240" w:lineRule="auto"/>
        <w:jc w:val="both"/>
        <w:rPr>
          <w:rFonts w:ascii="Calibri" w:eastAsia="Calibri" w:hAnsi="Calibri" w:cs="Calibri"/>
          <w:iCs/>
          <w:highlight w:val="yellow"/>
        </w:rPr>
      </w:pPr>
    </w:p>
    <w:p w14:paraId="7ABA66A8" w14:textId="77777777" w:rsidR="000B6D3B" w:rsidRDefault="000B6D3B" w:rsidP="000B6D3B">
      <w:pPr>
        <w:numPr>
          <w:ilvl w:val="1"/>
          <w:numId w:val="3"/>
        </w:numPr>
        <w:spacing w:after="0" w:line="240" w:lineRule="auto"/>
        <w:ind w:right="92"/>
        <w:contextualSpacing/>
        <w:jc w:val="both"/>
        <w:rPr>
          <w:rFonts w:ascii="Calibri" w:eastAsia="Times New Roman" w:hAnsi="Calibri" w:cs="Calibri"/>
          <w:b/>
          <w:bCs/>
          <w:iCs/>
        </w:rPr>
      </w:pPr>
      <w:r>
        <w:rPr>
          <w:rFonts w:ascii="Calibri" w:eastAsia="Times New Roman" w:hAnsi="Calibri" w:cs="Calibri"/>
          <w:b/>
          <w:bCs/>
          <w:iCs/>
        </w:rPr>
        <w:t xml:space="preserve"> EU projekt „Projekt prikupljanja, pročišćavanja i odvodnje otpadnih voda na području otoka Krka“</w:t>
      </w:r>
    </w:p>
    <w:p w14:paraId="5C012341" w14:textId="77777777" w:rsidR="000B6D3B" w:rsidRDefault="000B6D3B" w:rsidP="000B6D3B">
      <w:pPr>
        <w:spacing w:after="0" w:line="240" w:lineRule="auto"/>
        <w:ind w:right="92"/>
        <w:contextualSpacing/>
        <w:jc w:val="both"/>
        <w:rPr>
          <w:rFonts w:ascii="Calibri" w:eastAsia="Times New Roman" w:hAnsi="Calibri" w:cs="Calibri"/>
          <w:iCs/>
        </w:rPr>
      </w:pPr>
    </w:p>
    <w:p w14:paraId="32B267EE" w14:textId="77777777" w:rsidR="000B6D3B" w:rsidRDefault="000B6D3B" w:rsidP="000B6D3B">
      <w:pPr>
        <w:spacing w:after="0" w:line="240" w:lineRule="auto"/>
        <w:ind w:right="92"/>
        <w:contextualSpacing/>
        <w:jc w:val="both"/>
        <w:rPr>
          <w:rFonts w:ascii="Calibri" w:eastAsia="Times New Roman" w:hAnsi="Calibri" w:cs="Calibri"/>
        </w:rPr>
      </w:pPr>
      <w:r>
        <w:rPr>
          <w:rFonts w:ascii="Calibri" w:eastAsia="Times New Roman" w:hAnsi="Calibri" w:cs="Calibri"/>
          <w:iCs/>
        </w:rPr>
        <w:t xml:space="preserve">U 2020. godini nastavlja se provedba EU projekta „Projekt prikupljanja, pročišćavanja i odvodnje otpadnih voda na području otoka Krka“ </w:t>
      </w:r>
      <w:r>
        <w:rPr>
          <w:rFonts w:ascii="Calibri" w:eastAsia="Times New Roman" w:hAnsi="Calibri" w:cs="Calibri"/>
        </w:rPr>
        <w:t xml:space="preserve">koji je započeo u 2017. godini, a odobren Odlukom Ministarstva zaštite okoliša i energetike 11. svibnja 2017. godine i njenom dopunom od 06. lipnja 2017. godine. </w:t>
      </w:r>
    </w:p>
    <w:p w14:paraId="0149DDD9" w14:textId="77777777" w:rsidR="000B6D3B" w:rsidRDefault="000B6D3B" w:rsidP="000B6D3B">
      <w:pPr>
        <w:spacing w:after="0" w:line="240" w:lineRule="auto"/>
        <w:ind w:right="92"/>
        <w:contextualSpacing/>
        <w:jc w:val="both"/>
        <w:rPr>
          <w:rFonts w:ascii="Calibri" w:eastAsia="Times New Roman" w:hAnsi="Calibri" w:cs="Calibri"/>
          <w:bCs/>
          <w:iCs/>
        </w:rPr>
      </w:pPr>
      <w:r>
        <w:rPr>
          <w:rFonts w:ascii="Calibri" w:eastAsia="Times New Roman" w:hAnsi="Calibri" w:cs="Calibri"/>
        </w:rPr>
        <w:t>26. srpnja 2017. godine potpisani su ugovori:</w:t>
      </w:r>
    </w:p>
    <w:p w14:paraId="09D06CC8" w14:textId="77777777" w:rsidR="000B6D3B" w:rsidRDefault="000B6D3B" w:rsidP="000B6D3B">
      <w:pPr>
        <w:spacing w:after="0" w:line="240" w:lineRule="auto"/>
        <w:ind w:right="92"/>
        <w:jc w:val="both"/>
        <w:rPr>
          <w:rFonts w:ascii="Calibri" w:eastAsia="Times New Roman" w:hAnsi="Calibri" w:cs="Calibri"/>
        </w:rPr>
      </w:pPr>
      <w:r>
        <w:rPr>
          <w:rFonts w:ascii="Calibri" w:eastAsia="Times New Roman" w:hAnsi="Calibri" w:cs="Calibri"/>
        </w:rPr>
        <w:t xml:space="preserve">- </w:t>
      </w:r>
      <w:r>
        <w:rPr>
          <w:rFonts w:ascii="Calibri" w:eastAsia="Times New Roman" w:hAnsi="Calibri" w:cs="Calibri"/>
          <w:b/>
          <w:bCs/>
        </w:rPr>
        <w:t>Ugovor o dodjeli bespovratnih sredstava</w:t>
      </w:r>
      <w:r>
        <w:rPr>
          <w:rFonts w:ascii="Calibri" w:eastAsia="Times New Roman" w:hAnsi="Calibri" w:cs="Calibri"/>
        </w:rPr>
        <w:t xml:space="preserve"> EU projekta s Ministarstvom zaštite okoliša i energetike kao posredničkog tijela 1 i Hrvatskim vodama kao posredničkog tijela 2</w:t>
      </w:r>
    </w:p>
    <w:p w14:paraId="1BE9E8CF"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 xml:space="preserve">- </w:t>
      </w:r>
      <w:r>
        <w:rPr>
          <w:rFonts w:ascii="Calibri" w:eastAsia="Times New Roman" w:hAnsi="Calibri" w:cs="Calibri"/>
          <w:b/>
          <w:bCs/>
        </w:rPr>
        <w:t>Ugovor o sufinanciranju</w:t>
      </w:r>
      <w:r>
        <w:rPr>
          <w:rFonts w:ascii="Calibri" w:eastAsia="Times New Roman" w:hAnsi="Calibri" w:cs="Calibri"/>
        </w:rPr>
        <w:t xml:space="preserve"> EU projekta s Ministarstvom zaštite okoliša i energetike kao posredničkog tijela 1, Hrvatskim vodama kao posredničkog tijela 2, te 6 jedinica lokalne samouprave (sve jedinice otoka Krka osim Vrbnika koji ne sudjeluje u EU projektu) i Ponikve vodom</w:t>
      </w:r>
    </w:p>
    <w:p w14:paraId="77951C5C"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 xml:space="preserve">- </w:t>
      </w:r>
      <w:r>
        <w:rPr>
          <w:rFonts w:ascii="Calibri" w:eastAsia="Times New Roman" w:hAnsi="Calibri" w:cs="Calibri"/>
          <w:b/>
          <w:bCs/>
        </w:rPr>
        <w:t>Ugovor o partnerstvu</w:t>
      </w:r>
      <w:r>
        <w:rPr>
          <w:rFonts w:ascii="Calibri" w:eastAsia="Times New Roman" w:hAnsi="Calibri" w:cs="Calibri"/>
        </w:rPr>
        <w:t xml:space="preserve"> na EU projektu s jedinicama lokalne samouprave u kojem je navedena i obveza vraćanja kredita koji je Ponikve voda potpisala s Hrvatskom bankom za obnovu i razvoj (maksimalno 45 mil kn, fiksna godišnja kamatna stopa od 2,5%, rok otplate 10 godina), a kojeg će u cijelosti vraćati jedinice lokalne samouprave s obzirom da se radi o sredstvima koja će pokrivati dio lokalne komponente jedinica lokalne samouprave.</w:t>
      </w:r>
    </w:p>
    <w:p w14:paraId="2E6DDEBC" w14:textId="77777777" w:rsidR="000B6D3B" w:rsidRDefault="000B6D3B" w:rsidP="000B6D3B">
      <w:pPr>
        <w:spacing w:after="0" w:line="240" w:lineRule="auto"/>
        <w:ind w:left="360" w:right="92"/>
        <w:jc w:val="both"/>
        <w:rPr>
          <w:rFonts w:ascii="Calibri" w:eastAsia="Times New Roman" w:hAnsi="Calibri" w:cs="Calibri"/>
          <w:iCs/>
        </w:rPr>
      </w:pPr>
    </w:p>
    <w:p w14:paraId="4806A458"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 xml:space="preserve">Ukupna vrijednost projekta procijenjena je na iznos od 648.312.359,00 kn. Prihvatljivi procijenjeni troškovi iznose </w:t>
      </w:r>
      <w:r>
        <w:rPr>
          <w:rFonts w:ascii="Calibri" w:eastAsia="Times New Roman" w:hAnsi="Calibri" w:cs="Calibri"/>
          <w:b/>
        </w:rPr>
        <w:t>510.913.257,00 kn</w:t>
      </w:r>
      <w:r>
        <w:rPr>
          <w:rFonts w:ascii="Calibri" w:eastAsia="Times New Roman" w:hAnsi="Calibri" w:cs="Calibri"/>
        </w:rPr>
        <w:t>, a neprihvatljivi trošak su ulaganja do 2014. godine i porez na dodanu vrijednost. Udjeli u sufinanciranju prihvaćenih planiranih troškova su sljedeći:</w:t>
      </w:r>
    </w:p>
    <w:p w14:paraId="41DB99D6" w14:textId="77777777" w:rsidR="000B6D3B" w:rsidRDefault="000B6D3B" w:rsidP="000B6D3B">
      <w:pPr>
        <w:spacing w:after="0" w:line="240" w:lineRule="auto"/>
        <w:jc w:val="both"/>
        <w:rPr>
          <w:rFonts w:ascii="Calibri" w:eastAsia="Times New Roman" w:hAnsi="Calibri" w:cs="Calibri"/>
          <w:sz w:val="10"/>
          <w:szCs w:val="10"/>
        </w:rPr>
      </w:pPr>
    </w:p>
    <w:p w14:paraId="20A986BA" w14:textId="77777777" w:rsidR="000B6D3B" w:rsidRDefault="000B6D3B" w:rsidP="000B6D3B">
      <w:pPr>
        <w:numPr>
          <w:ilvl w:val="0"/>
          <w:numId w:val="4"/>
        </w:numPr>
        <w:spacing w:after="0" w:line="240" w:lineRule="auto"/>
        <w:contextualSpacing/>
        <w:jc w:val="both"/>
        <w:rPr>
          <w:rFonts w:ascii="Calibri" w:eastAsia="Times New Roman" w:hAnsi="Calibri" w:cs="Calibri"/>
        </w:rPr>
      </w:pPr>
      <w:r>
        <w:rPr>
          <w:rFonts w:ascii="Calibri" w:eastAsia="Times New Roman" w:hAnsi="Calibri" w:cs="Calibri"/>
        </w:rPr>
        <w:t xml:space="preserve">bespovratna sredstva EU     369.138.660,00 kn (72,25075%) </w:t>
      </w:r>
    </w:p>
    <w:p w14:paraId="22A25B33" w14:textId="77777777" w:rsidR="000B6D3B" w:rsidRDefault="000B6D3B" w:rsidP="000B6D3B">
      <w:pPr>
        <w:numPr>
          <w:ilvl w:val="0"/>
          <w:numId w:val="4"/>
        </w:numPr>
        <w:spacing w:after="0" w:line="240" w:lineRule="auto"/>
        <w:contextualSpacing/>
        <w:jc w:val="both"/>
        <w:rPr>
          <w:rFonts w:ascii="Calibri" w:eastAsia="Times New Roman" w:hAnsi="Calibri" w:cs="Calibri"/>
        </w:rPr>
      </w:pPr>
      <w:r>
        <w:rPr>
          <w:rFonts w:ascii="Calibri" w:eastAsia="Times New Roman" w:hAnsi="Calibri" w:cs="Calibri"/>
        </w:rPr>
        <w:t xml:space="preserve">domaća komponenta </w:t>
      </w:r>
      <w:r>
        <w:rPr>
          <w:rFonts w:ascii="Calibri" w:eastAsia="Times New Roman" w:hAnsi="Calibri" w:cs="Calibri"/>
        </w:rPr>
        <w:tab/>
        <w:t xml:space="preserve">       141.774.597,00 kn (27,74925%)</w:t>
      </w:r>
      <w:r>
        <w:rPr>
          <w:rFonts w:ascii="Calibri" w:eastAsia="Times New Roman" w:hAnsi="Calibri" w:cs="Calibri"/>
        </w:rPr>
        <w:tab/>
      </w:r>
    </w:p>
    <w:p w14:paraId="49916DE5" w14:textId="77777777" w:rsidR="000B6D3B" w:rsidRDefault="000B6D3B" w:rsidP="000B6D3B">
      <w:pPr>
        <w:spacing w:after="0" w:line="240" w:lineRule="auto"/>
        <w:jc w:val="both"/>
        <w:rPr>
          <w:rFonts w:ascii="Calibri" w:eastAsia="Times New Roman" w:hAnsi="Calibri" w:cs="Calibri"/>
          <w:sz w:val="24"/>
          <w:szCs w:val="24"/>
        </w:rPr>
      </w:pPr>
    </w:p>
    <w:p w14:paraId="6B31D723"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Udjeli u sufinanciranju domaće komponente su sljedeći:</w:t>
      </w:r>
    </w:p>
    <w:p w14:paraId="72173799" w14:textId="77777777" w:rsidR="000B6D3B" w:rsidRDefault="000B6D3B" w:rsidP="000B6D3B">
      <w:pPr>
        <w:spacing w:after="0" w:line="240" w:lineRule="auto"/>
        <w:jc w:val="both"/>
        <w:rPr>
          <w:rFonts w:ascii="Calibri" w:eastAsia="Times New Roman" w:hAnsi="Calibri" w:cs="Calibri"/>
          <w:sz w:val="10"/>
          <w:szCs w:val="10"/>
        </w:rPr>
      </w:pPr>
    </w:p>
    <w:p w14:paraId="7FBCD958" w14:textId="77777777" w:rsidR="000B6D3B" w:rsidRDefault="000B6D3B" w:rsidP="000B6D3B">
      <w:pPr>
        <w:numPr>
          <w:ilvl w:val="0"/>
          <w:numId w:val="4"/>
        </w:numPr>
        <w:spacing w:after="0" w:line="240" w:lineRule="auto"/>
        <w:contextualSpacing/>
        <w:jc w:val="both"/>
        <w:rPr>
          <w:rFonts w:ascii="Calibri" w:eastAsia="Times New Roman" w:hAnsi="Calibri" w:cs="Calibri"/>
        </w:rPr>
      </w:pPr>
      <w:r>
        <w:rPr>
          <w:rFonts w:ascii="Calibri" w:eastAsia="Times New Roman" w:hAnsi="Calibri" w:cs="Calibri"/>
        </w:rPr>
        <w:t xml:space="preserve">Ministarstvo zaštite okoliša i energetike </w:t>
      </w:r>
      <w:r>
        <w:rPr>
          <w:rFonts w:ascii="Calibri" w:eastAsia="Times New Roman" w:hAnsi="Calibri" w:cs="Calibri"/>
        </w:rPr>
        <w:tab/>
        <w:t xml:space="preserve">47.258.199 kn (33,33%) </w:t>
      </w:r>
    </w:p>
    <w:p w14:paraId="0AEB1369" w14:textId="77777777" w:rsidR="000B6D3B" w:rsidRDefault="000B6D3B" w:rsidP="000B6D3B">
      <w:pPr>
        <w:numPr>
          <w:ilvl w:val="0"/>
          <w:numId w:val="4"/>
        </w:numPr>
        <w:spacing w:after="0" w:line="240" w:lineRule="auto"/>
        <w:contextualSpacing/>
        <w:jc w:val="both"/>
        <w:rPr>
          <w:rFonts w:ascii="Calibri" w:eastAsia="Times New Roman" w:hAnsi="Calibri" w:cs="Calibri"/>
        </w:rPr>
      </w:pPr>
      <w:r>
        <w:rPr>
          <w:rFonts w:ascii="Calibri" w:eastAsia="Times New Roman" w:hAnsi="Calibri" w:cs="Calibri"/>
        </w:rPr>
        <w:t>Hrvatske vode</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w:t>
      </w:r>
      <w:r>
        <w:rPr>
          <w:rFonts w:ascii="Calibri" w:eastAsia="Times New Roman" w:hAnsi="Calibri" w:cs="Calibri"/>
        </w:rPr>
        <w:tab/>
        <w:t>47.258.199 kn (33,33%)</w:t>
      </w:r>
    </w:p>
    <w:p w14:paraId="77546228" w14:textId="77777777" w:rsidR="000B6D3B" w:rsidRDefault="000B6D3B" w:rsidP="000B6D3B">
      <w:pPr>
        <w:numPr>
          <w:ilvl w:val="0"/>
          <w:numId w:val="4"/>
        </w:numPr>
        <w:spacing w:after="0" w:line="240" w:lineRule="auto"/>
        <w:contextualSpacing/>
        <w:jc w:val="both"/>
        <w:rPr>
          <w:rFonts w:ascii="Calibri" w:eastAsia="Times New Roman" w:hAnsi="Calibri" w:cs="Calibri"/>
        </w:rPr>
      </w:pPr>
      <w:r>
        <w:rPr>
          <w:rFonts w:ascii="Calibri" w:eastAsia="Times New Roman" w:hAnsi="Calibri" w:cs="Calibri"/>
        </w:rPr>
        <w:t>lokalna komponenta (otok Krk)</w:t>
      </w:r>
      <w:r>
        <w:rPr>
          <w:rFonts w:ascii="Calibri" w:eastAsia="Times New Roman" w:hAnsi="Calibri" w:cs="Calibri"/>
        </w:rPr>
        <w:tab/>
      </w:r>
      <w:r>
        <w:rPr>
          <w:rFonts w:ascii="Calibri" w:eastAsia="Times New Roman" w:hAnsi="Calibri" w:cs="Calibri"/>
        </w:rPr>
        <w:tab/>
        <w:t xml:space="preserve"> </w:t>
      </w:r>
      <w:r>
        <w:rPr>
          <w:rFonts w:ascii="Calibri" w:eastAsia="Times New Roman" w:hAnsi="Calibri" w:cs="Calibri"/>
        </w:rPr>
        <w:tab/>
        <w:t>47.258.199 kn (33,33%)</w:t>
      </w:r>
    </w:p>
    <w:p w14:paraId="7B468F84" w14:textId="77777777" w:rsidR="000B6D3B" w:rsidRDefault="000B6D3B" w:rsidP="000B6D3B">
      <w:pPr>
        <w:spacing w:after="0" w:line="240" w:lineRule="auto"/>
        <w:ind w:left="720"/>
        <w:contextualSpacing/>
        <w:jc w:val="both"/>
        <w:rPr>
          <w:rFonts w:ascii="Calibri" w:eastAsia="Times New Roman" w:hAnsi="Calibri" w:cs="Calibri"/>
          <w:sz w:val="10"/>
          <w:szCs w:val="10"/>
        </w:rPr>
      </w:pPr>
    </w:p>
    <w:p w14:paraId="5CFCA5E0"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Ponikve voda d.o.o.</w:t>
      </w:r>
      <w:r>
        <w:rPr>
          <w:rFonts w:ascii="Calibri" w:eastAsia="Times New Roman" w:hAnsi="Calibri" w:cs="Calibri"/>
        </w:rPr>
        <w:tab/>
      </w:r>
      <w:r>
        <w:rPr>
          <w:rFonts w:ascii="Calibri" w:eastAsia="Times New Roman" w:hAnsi="Calibri" w:cs="Calibri"/>
        </w:rPr>
        <w:tab/>
        <w:t xml:space="preserve">         4.853.417 kn (3,42%)</w:t>
      </w:r>
    </w:p>
    <w:p w14:paraId="63746401"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Grad Krk</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9.634.367 kn (6,80%)</w:t>
      </w:r>
    </w:p>
    <w:p w14:paraId="032D6E35"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Općina Baška</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5.457.495 kn (3,85%)</w:t>
      </w:r>
    </w:p>
    <w:p w14:paraId="00E993B1"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Općina Dobrinj</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7.450.520 kn (5,25%)</w:t>
      </w:r>
    </w:p>
    <w:p w14:paraId="1BD395C4"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Općina Malinska-Dubašnica</w:t>
      </w:r>
      <w:r>
        <w:rPr>
          <w:rFonts w:ascii="Calibri" w:eastAsia="Times New Roman" w:hAnsi="Calibri" w:cs="Calibri"/>
        </w:rPr>
        <w:tab/>
        <w:t xml:space="preserve">         8.103.554 kn (5,72%)</w:t>
      </w:r>
    </w:p>
    <w:p w14:paraId="1F254DFA"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Općina Omišalj</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7.552.292 kn (5,33%)</w:t>
      </w:r>
    </w:p>
    <w:p w14:paraId="752D24FB" w14:textId="77777777" w:rsidR="000B6D3B" w:rsidRDefault="000B6D3B" w:rsidP="000B6D3B">
      <w:pPr>
        <w:numPr>
          <w:ilvl w:val="1"/>
          <w:numId w:val="4"/>
        </w:numPr>
        <w:spacing w:after="0" w:line="240" w:lineRule="auto"/>
        <w:contextualSpacing/>
        <w:jc w:val="both"/>
        <w:rPr>
          <w:rFonts w:ascii="Calibri" w:eastAsia="Times New Roman" w:hAnsi="Calibri" w:cs="Calibri"/>
        </w:rPr>
      </w:pPr>
      <w:r>
        <w:rPr>
          <w:rFonts w:ascii="Calibri" w:eastAsia="Times New Roman" w:hAnsi="Calibri" w:cs="Calibri"/>
        </w:rPr>
        <w:t>Općina Punat</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4.206.554 kn (2,97%)</w:t>
      </w:r>
    </w:p>
    <w:p w14:paraId="5FF0995F" w14:textId="77777777" w:rsidR="000B6D3B" w:rsidRDefault="000B6D3B" w:rsidP="000B6D3B">
      <w:pPr>
        <w:spacing w:line="240" w:lineRule="auto"/>
        <w:contextualSpacing/>
        <w:jc w:val="both"/>
        <w:rPr>
          <w:rFonts w:ascii="Calibri" w:eastAsia="Times New Roman" w:hAnsi="Calibri" w:cs="Calibri"/>
        </w:rPr>
      </w:pPr>
    </w:p>
    <w:p w14:paraId="2C38AE33"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lastRenderedPageBreak/>
        <w:t xml:space="preserve">U kolovozu 2017. godine ugovoren je stručni </w:t>
      </w:r>
      <w:r>
        <w:rPr>
          <w:rFonts w:ascii="Calibri" w:eastAsia="Times New Roman" w:hAnsi="Calibri" w:cs="Calibri"/>
          <w:b/>
        </w:rPr>
        <w:t>nadzor</w:t>
      </w:r>
      <w:r>
        <w:rPr>
          <w:rFonts w:ascii="Calibri" w:eastAsia="Times New Roman" w:hAnsi="Calibri" w:cs="Calibri"/>
        </w:rPr>
        <w:t xml:space="preserve"> nad izgradnjom kanalizacijske mreže i rekonstrukcije vodovodne mreže (crvena knjiga) sa zajednicom ponuditelja WYG savjetovanje d.o.o. (vodeći član) i Institut IGH d.d. iz Zagreba. Vrijednost ugovora iznosi 6.388.000,00 kn. </w:t>
      </w:r>
    </w:p>
    <w:p w14:paraId="157FA875"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Dodatkom broj 2 od 11. ožujka 2019. godine ugovoreno je da se uz obveze iz osnovnog ugovora izvršitelj obvezuje vršiti usluge nadzora nad radovima na izgradnji elektroničko komunikacijske mreže. Rok za pružanje usluge se produžuje do 23. travnja 2021.g. Povećava se ugovorna cijena za 755.700,40 kn, čime je ukupna cijena ugovora nadzora </w:t>
      </w:r>
      <w:r>
        <w:rPr>
          <w:rFonts w:ascii="Calibri" w:eastAsia="Times New Roman" w:hAnsi="Calibri" w:cs="Calibri"/>
          <w:b/>
        </w:rPr>
        <w:t>7.143.700,40</w:t>
      </w:r>
      <w:r>
        <w:rPr>
          <w:rFonts w:ascii="Calibri" w:eastAsia="Times New Roman" w:hAnsi="Calibri" w:cs="Calibri"/>
        </w:rPr>
        <w:t xml:space="preserve"> kn. Do kraja 2020. godine obračunato je 3.653.069,94 kn ugovorene usluge.</w:t>
      </w:r>
    </w:p>
    <w:p w14:paraId="5D6E4062" w14:textId="77777777" w:rsidR="000B6D3B" w:rsidRDefault="000B6D3B" w:rsidP="000B6D3B">
      <w:pPr>
        <w:spacing w:line="240" w:lineRule="auto"/>
        <w:contextualSpacing/>
        <w:jc w:val="both"/>
        <w:rPr>
          <w:rFonts w:ascii="Calibri" w:eastAsia="Times New Roman" w:hAnsi="Calibri" w:cs="Calibri"/>
        </w:rPr>
      </w:pPr>
    </w:p>
    <w:p w14:paraId="69A8CC10"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U kolovozu 2017. godine ugovorena je </w:t>
      </w:r>
      <w:r>
        <w:rPr>
          <w:rFonts w:ascii="Calibri" w:eastAsia="Times New Roman" w:hAnsi="Calibri" w:cs="Calibri"/>
          <w:b/>
        </w:rPr>
        <w:t>usluga tehničke podrške upravljanja projektom</w:t>
      </w:r>
      <w:r>
        <w:rPr>
          <w:rFonts w:ascii="Calibri" w:eastAsia="Times New Roman" w:hAnsi="Calibri" w:cs="Calibri"/>
        </w:rPr>
        <w:t xml:space="preserve"> s Ernst &amp; Young Savjetovanje d.o.o. iz Zagreba. Vrijednost ugovora iznosi </w:t>
      </w:r>
      <w:r>
        <w:rPr>
          <w:rFonts w:ascii="Calibri" w:eastAsia="Times New Roman" w:hAnsi="Calibri" w:cs="Calibri"/>
          <w:b/>
        </w:rPr>
        <w:t>6.724.010,00 kn</w:t>
      </w:r>
      <w:r>
        <w:rPr>
          <w:rFonts w:ascii="Calibri" w:eastAsia="Times New Roman" w:hAnsi="Calibri" w:cs="Calibri"/>
        </w:rPr>
        <w:t>. Do kraja 2020. godine obračunato je 3.674.191,19 kn ugovorene usluge (Bilješka 5.2.).</w:t>
      </w:r>
    </w:p>
    <w:p w14:paraId="0BA96133" w14:textId="77777777" w:rsidR="000B6D3B" w:rsidRDefault="000B6D3B" w:rsidP="000B6D3B">
      <w:pPr>
        <w:spacing w:line="240" w:lineRule="auto"/>
        <w:contextualSpacing/>
        <w:jc w:val="both"/>
        <w:rPr>
          <w:rFonts w:ascii="Calibri" w:eastAsia="Times New Roman" w:hAnsi="Calibri" w:cs="Calibri"/>
        </w:rPr>
      </w:pPr>
    </w:p>
    <w:p w14:paraId="7C029DC4"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U kolovozu 2017. godine ugovorena je </w:t>
      </w:r>
      <w:r>
        <w:rPr>
          <w:rFonts w:ascii="Calibri" w:eastAsia="Times New Roman" w:hAnsi="Calibri" w:cs="Calibri"/>
          <w:b/>
        </w:rPr>
        <w:t>usluga informiranja i vidljivosti</w:t>
      </w:r>
      <w:r>
        <w:rPr>
          <w:rFonts w:ascii="Calibri" w:eastAsia="Times New Roman" w:hAnsi="Calibri" w:cs="Calibri"/>
        </w:rPr>
        <w:t xml:space="preserve"> u provedbi EU projekta s društvom Studio redizajn d.o.o. iz Zagreba. Vrijednost ugovora iznosi </w:t>
      </w:r>
      <w:r>
        <w:rPr>
          <w:rFonts w:ascii="Calibri" w:eastAsia="Times New Roman" w:hAnsi="Calibri" w:cs="Calibri"/>
          <w:b/>
        </w:rPr>
        <w:t>285.925,50 kn</w:t>
      </w:r>
      <w:r>
        <w:rPr>
          <w:rFonts w:ascii="Calibri" w:eastAsia="Times New Roman" w:hAnsi="Calibri" w:cs="Calibri"/>
        </w:rPr>
        <w:t>. Do kraja 2020. godine obračunato je 127.431,50 kn ugovorene usluge.</w:t>
      </w:r>
    </w:p>
    <w:p w14:paraId="0B6B69E8" w14:textId="77777777" w:rsidR="000B6D3B" w:rsidRDefault="000B6D3B" w:rsidP="000B6D3B">
      <w:pPr>
        <w:spacing w:line="240" w:lineRule="auto"/>
        <w:contextualSpacing/>
        <w:jc w:val="both"/>
        <w:rPr>
          <w:rFonts w:ascii="Calibri" w:eastAsia="Times New Roman" w:hAnsi="Calibri" w:cs="Calibri"/>
        </w:rPr>
      </w:pPr>
    </w:p>
    <w:p w14:paraId="32CAACF1" w14:textId="77777777" w:rsidR="000B6D3B" w:rsidRDefault="000B6D3B" w:rsidP="000B6D3B">
      <w:pPr>
        <w:spacing w:line="240" w:lineRule="auto"/>
        <w:contextualSpacing/>
        <w:jc w:val="both"/>
        <w:rPr>
          <w:rFonts w:ascii="Calibri" w:eastAsia="Calibri" w:hAnsi="Calibri" w:cs="Calibri"/>
        </w:rPr>
      </w:pPr>
      <w:bookmarkStart w:id="1" w:name="_Hlk5007318"/>
      <w:r>
        <w:rPr>
          <w:rFonts w:ascii="Calibri" w:eastAsia="Times New Roman" w:hAnsi="Calibri" w:cs="Calibri"/>
        </w:rPr>
        <w:t xml:space="preserve">U rujnu 2017. godine ugovorena je </w:t>
      </w:r>
      <w:r>
        <w:rPr>
          <w:rFonts w:ascii="Calibri" w:eastAsia="Times New Roman" w:hAnsi="Calibri" w:cs="Calibri"/>
          <w:b/>
        </w:rPr>
        <w:t>izgradnja kanalizacijske mreže i rekonstrukcije vodovodne mreže</w:t>
      </w:r>
      <w:r>
        <w:rPr>
          <w:rFonts w:ascii="Calibri" w:eastAsia="Times New Roman" w:hAnsi="Calibri" w:cs="Calibri"/>
        </w:rPr>
        <w:t xml:space="preserve"> (crvena knjiga) sa zajednicom ponuditelja Gorenjska gradbena družba d.d. iz Kranja, Slovenija (vodeći član) i Kolektor CPG d.o.o. iz Nove Gorica, Slovenija. Vrijednost ugovora iznosi 253.828.191,71 kn.  </w:t>
      </w:r>
      <w:r>
        <w:rPr>
          <w:rFonts w:ascii="Calibri" w:eastAsia="Calibri" w:hAnsi="Calibri" w:cs="Calibri"/>
        </w:rPr>
        <w:t xml:space="preserve">U ožujku 2019. godine potpisan je Dodatak br. 1 Ugovoru kojim je vrijednost ugovora povećana za 13.127.144,37 kn koliko iznose radovi na izgradnji elektroničko komunikacijske mreže. U veljači 2020. godine potpisan je Dodatak 2. Ugovoru vrijednost ugovora smanjena je  za 972.238,53 kn, a Dodatkom 3.Ugovora  dodatno je smanjena vrijednost za 11.276.395,18 kn. Ukupna vrijednost ugovora sada iznosi </w:t>
      </w:r>
      <w:r>
        <w:rPr>
          <w:rFonts w:ascii="Calibri" w:eastAsia="Calibri" w:hAnsi="Calibri" w:cs="Calibri"/>
          <w:b/>
        </w:rPr>
        <w:t>254.706.702,37</w:t>
      </w:r>
      <w:r>
        <w:rPr>
          <w:rFonts w:ascii="Calibri" w:eastAsia="Calibri" w:hAnsi="Calibri" w:cs="Calibri"/>
        </w:rPr>
        <w:t xml:space="preserve"> </w:t>
      </w:r>
      <w:r>
        <w:rPr>
          <w:rFonts w:ascii="Calibri" w:eastAsia="Calibri" w:hAnsi="Calibri" w:cs="Calibri"/>
          <w:b/>
          <w:bCs/>
        </w:rPr>
        <w:t>kn</w:t>
      </w:r>
      <w:r>
        <w:rPr>
          <w:rFonts w:ascii="Calibri" w:eastAsia="Calibri" w:hAnsi="Calibri" w:cs="Calibri"/>
        </w:rPr>
        <w:t>. Rok izvođenja radova produžen je do 23. travnja 2021. godine.</w:t>
      </w:r>
    </w:p>
    <w:p w14:paraId="24597437"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Do kraja 2020. godine situirani su radovi u iznosu od 216.010.994,43 kn.</w:t>
      </w:r>
    </w:p>
    <w:bookmarkEnd w:id="1"/>
    <w:p w14:paraId="16CC3395" w14:textId="77777777" w:rsidR="000B6D3B" w:rsidRDefault="000B6D3B" w:rsidP="000B6D3B">
      <w:pPr>
        <w:spacing w:after="0" w:line="240" w:lineRule="auto"/>
        <w:ind w:right="92"/>
        <w:contextualSpacing/>
        <w:jc w:val="both"/>
        <w:rPr>
          <w:rFonts w:ascii="Calibri" w:eastAsia="Times New Roman" w:hAnsi="Calibri" w:cs="Calibri"/>
          <w:b/>
          <w:bCs/>
          <w:iCs/>
        </w:rPr>
      </w:pPr>
    </w:p>
    <w:p w14:paraId="32E38730"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U listopadu 2020. godine ugovorena je </w:t>
      </w:r>
      <w:r>
        <w:rPr>
          <w:rFonts w:ascii="Calibri" w:eastAsia="Times New Roman" w:hAnsi="Calibri" w:cs="Calibri"/>
          <w:b/>
          <w:bCs/>
        </w:rPr>
        <w:t>izgradnja i dogradnja uređaja za pročišćavanje i obradu otpadnog mulja</w:t>
      </w:r>
      <w:r>
        <w:rPr>
          <w:rFonts w:ascii="Calibri" w:eastAsia="Times New Roman" w:hAnsi="Calibri" w:cs="Calibri"/>
        </w:rPr>
        <w:t xml:space="preserve"> (žuta knjiga) sa zajednicom ponuditelja Neoplast industry d.o.o. iz Beograda, Srbija, Art-graditeljstvo d.o.o. iz Zagreba, Hrvatska i Odis filtering Ltd iz Petrach-Tikve, Izrael. Vrijednost ugovora iznosi </w:t>
      </w:r>
      <w:r>
        <w:rPr>
          <w:rFonts w:ascii="Calibri" w:eastAsia="Times New Roman" w:hAnsi="Calibri" w:cs="Calibri"/>
          <w:b/>
          <w:bCs/>
        </w:rPr>
        <w:t>183.645.002,00</w:t>
      </w:r>
      <w:r>
        <w:rPr>
          <w:rFonts w:ascii="Calibri" w:eastAsia="Times New Roman" w:hAnsi="Calibri" w:cs="Calibri"/>
        </w:rPr>
        <w:t xml:space="preserve"> </w:t>
      </w:r>
      <w:r>
        <w:rPr>
          <w:rFonts w:ascii="Calibri" w:eastAsia="Times New Roman" w:hAnsi="Calibri" w:cs="Calibri"/>
          <w:b/>
          <w:bCs/>
        </w:rPr>
        <w:t>kn</w:t>
      </w:r>
      <w:r>
        <w:rPr>
          <w:rFonts w:ascii="Calibri" w:eastAsia="Times New Roman" w:hAnsi="Calibri" w:cs="Calibri"/>
        </w:rPr>
        <w:t>. Izvođač je, sukladno ugovoru, u studenome 2020. godine uputio zahtjev za predujam u vrijednosti od  18.364.500,20 kn (10% ugovorene vrijednosti) koji je uplaćen u siječnju 2021. godine.</w:t>
      </w:r>
    </w:p>
    <w:p w14:paraId="5DC60EC8" w14:textId="77777777" w:rsidR="000B6D3B" w:rsidRDefault="000B6D3B" w:rsidP="000B6D3B">
      <w:pPr>
        <w:spacing w:line="240" w:lineRule="auto"/>
        <w:contextualSpacing/>
        <w:jc w:val="both"/>
        <w:rPr>
          <w:rFonts w:ascii="Calibri" w:eastAsia="Times New Roman" w:hAnsi="Calibri" w:cs="Calibri"/>
        </w:rPr>
      </w:pPr>
    </w:p>
    <w:p w14:paraId="12320067"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U prosincu 2020. godine ugovorene su </w:t>
      </w:r>
      <w:r>
        <w:rPr>
          <w:rFonts w:ascii="Calibri" w:eastAsia="Times New Roman" w:hAnsi="Calibri" w:cs="Calibri"/>
          <w:b/>
          <w:bCs/>
        </w:rPr>
        <w:t>nabave opreme</w:t>
      </w:r>
      <w:r>
        <w:rPr>
          <w:rFonts w:ascii="Calibri" w:eastAsia="Times New Roman" w:hAnsi="Calibri" w:cs="Calibri"/>
        </w:rPr>
        <w:t>, a isporuka se očekuje tijekom 2021. godine:</w:t>
      </w:r>
    </w:p>
    <w:p w14:paraId="2346188E" w14:textId="77777777" w:rsidR="000B6D3B" w:rsidRDefault="000B6D3B" w:rsidP="000B6D3B">
      <w:pPr>
        <w:numPr>
          <w:ilvl w:val="0"/>
          <w:numId w:val="5"/>
        </w:numPr>
        <w:spacing w:after="0" w:line="240" w:lineRule="auto"/>
        <w:ind w:left="284" w:hanging="142"/>
        <w:contextualSpacing/>
        <w:jc w:val="both"/>
        <w:rPr>
          <w:rFonts w:ascii="Calibri" w:eastAsia="Times New Roman" w:hAnsi="Calibri" w:cs="Calibri"/>
        </w:rPr>
      </w:pPr>
      <w:r>
        <w:rPr>
          <w:rFonts w:ascii="Calibri" w:eastAsia="Times New Roman" w:hAnsi="Calibri" w:cs="Calibri"/>
        </w:rPr>
        <w:t xml:space="preserve">specijalna vozila (dva kombinirana vozila za čišćenje i uklanjanje nečistoća iz kanalizacijskih cijevi zapremnine 3,5m3 i 8m3 i dvije cisterne za crpljenje i odvoz otpadnih voda iz septičkih i sabirnih jama) u ukupnoj vrijednosti od </w:t>
      </w:r>
      <w:r>
        <w:rPr>
          <w:rFonts w:ascii="Calibri" w:eastAsia="Times New Roman" w:hAnsi="Calibri" w:cs="Calibri"/>
          <w:b/>
          <w:bCs/>
        </w:rPr>
        <w:t>6.764.000,00 kn</w:t>
      </w:r>
      <w:r>
        <w:rPr>
          <w:rFonts w:ascii="Calibri" w:eastAsia="Times New Roman" w:hAnsi="Calibri" w:cs="Calibri"/>
        </w:rPr>
        <w:t xml:space="preserve"> (isporučitelj: Agra trgovina d.o.o. iz Zagreba)</w:t>
      </w:r>
    </w:p>
    <w:p w14:paraId="5328CEB6" w14:textId="77777777" w:rsidR="000B6D3B" w:rsidRDefault="000B6D3B" w:rsidP="000B6D3B">
      <w:pPr>
        <w:numPr>
          <w:ilvl w:val="0"/>
          <w:numId w:val="5"/>
        </w:numPr>
        <w:spacing w:after="0" w:line="240" w:lineRule="auto"/>
        <w:ind w:left="284" w:hanging="142"/>
        <w:contextualSpacing/>
        <w:jc w:val="both"/>
        <w:rPr>
          <w:rFonts w:ascii="Calibri" w:eastAsia="Times New Roman" w:hAnsi="Calibri" w:cs="Calibri"/>
        </w:rPr>
      </w:pPr>
      <w:r>
        <w:rPr>
          <w:rFonts w:ascii="Calibri" w:eastAsia="Times New Roman" w:hAnsi="Calibri" w:cs="Calibri"/>
        </w:rPr>
        <w:t>CCTV kamera s vozilom i opremom za čišćenje kanalizacije u ukupnoj vrijednosti od 1.269.400,00 kn (isporučitelj: Agra trgovina d.o.o. iz Zagreba)</w:t>
      </w:r>
    </w:p>
    <w:p w14:paraId="5F8EEEC3" w14:textId="77777777" w:rsidR="000B6D3B" w:rsidRDefault="000B6D3B" w:rsidP="000B6D3B">
      <w:pPr>
        <w:numPr>
          <w:ilvl w:val="0"/>
          <w:numId w:val="5"/>
        </w:numPr>
        <w:spacing w:after="0" w:line="240" w:lineRule="auto"/>
        <w:ind w:left="284" w:hanging="142"/>
        <w:contextualSpacing/>
        <w:jc w:val="both"/>
        <w:rPr>
          <w:rFonts w:ascii="Calibri" w:eastAsia="Times New Roman" w:hAnsi="Calibri" w:cs="Calibri"/>
        </w:rPr>
      </w:pPr>
      <w:r>
        <w:rPr>
          <w:rFonts w:ascii="Calibri" w:eastAsia="Times New Roman" w:hAnsi="Calibri" w:cs="Calibri"/>
        </w:rPr>
        <w:t xml:space="preserve">kamion s prikolicom (specijalno komunalno vozilo za podizanje i prijevoz kontejnera 5-8m3 – teleskopski samopodizač) u vrijednosti od </w:t>
      </w:r>
      <w:r>
        <w:rPr>
          <w:rFonts w:ascii="Calibri" w:eastAsia="Times New Roman" w:hAnsi="Calibri" w:cs="Calibri"/>
          <w:b/>
          <w:bCs/>
        </w:rPr>
        <w:t>923.775,00 kn</w:t>
      </w:r>
      <w:r>
        <w:rPr>
          <w:rFonts w:ascii="Calibri" w:eastAsia="Times New Roman" w:hAnsi="Calibri" w:cs="Calibri"/>
        </w:rPr>
        <w:t xml:space="preserve"> (isporučitelj: Gradatin d.o.o. iz Sesveta)</w:t>
      </w:r>
    </w:p>
    <w:p w14:paraId="096A9618" w14:textId="77777777" w:rsidR="000B6D3B" w:rsidRDefault="000B6D3B" w:rsidP="000B6D3B">
      <w:pPr>
        <w:numPr>
          <w:ilvl w:val="0"/>
          <w:numId w:val="5"/>
        </w:numPr>
        <w:spacing w:after="0" w:line="240" w:lineRule="auto"/>
        <w:ind w:left="284" w:hanging="142"/>
        <w:contextualSpacing/>
        <w:jc w:val="both"/>
        <w:rPr>
          <w:rFonts w:ascii="Calibri" w:eastAsia="Times New Roman" w:hAnsi="Calibri" w:cs="Calibri"/>
        </w:rPr>
      </w:pPr>
      <w:r>
        <w:rPr>
          <w:rFonts w:ascii="Calibri" w:eastAsia="Times New Roman" w:hAnsi="Calibri" w:cs="Calibri"/>
        </w:rPr>
        <w:t xml:space="preserve">vodomjeri (2.106 kom) u ukupnoj vrijednosti od </w:t>
      </w:r>
      <w:r>
        <w:rPr>
          <w:rFonts w:ascii="Calibri" w:eastAsia="Times New Roman" w:hAnsi="Calibri" w:cs="Calibri"/>
          <w:b/>
          <w:bCs/>
        </w:rPr>
        <w:t>911.890,00 kn</w:t>
      </w:r>
      <w:r>
        <w:rPr>
          <w:rFonts w:ascii="Calibri" w:eastAsia="Times New Roman" w:hAnsi="Calibri" w:cs="Calibri"/>
        </w:rPr>
        <w:t xml:space="preserve"> (isporučitelj: IKOM d.o.o. iz Zagreba)</w:t>
      </w:r>
    </w:p>
    <w:p w14:paraId="590CD5BB" w14:textId="77777777" w:rsidR="000B6D3B" w:rsidRDefault="000B6D3B" w:rsidP="000B6D3B">
      <w:pPr>
        <w:numPr>
          <w:ilvl w:val="0"/>
          <w:numId w:val="5"/>
        </w:numPr>
        <w:spacing w:after="0" w:line="240" w:lineRule="auto"/>
        <w:ind w:left="284" w:hanging="142"/>
        <w:contextualSpacing/>
        <w:jc w:val="both"/>
        <w:rPr>
          <w:rFonts w:ascii="Calibri" w:eastAsia="Times New Roman" w:hAnsi="Calibri" w:cs="Calibri"/>
        </w:rPr>
      </w:pPr>
      <w:r>
        <w:rPr>
          <w:rFonts w:ascii="Calibri" w:eastAsia="Times New Roman" w:hAnsi="Calibri" w:cs="Calibri"/>
        </w:rPr>
        <w:t xml:space="preserve">individualne crpne stanice (450 kom malih crpki za lokalno spajanje kućanstva) u ukupnoj vrijednosti od </w:t>
      </w:r>
      <w:r>
        <w:rPr>
          <w:rFonts w:ascii="Calibri" w:eastAsia="Times New Roman" w:hAnsi="Calibri" w:cs="Calibri"/>
          <w:b/>
          <w:bCs/>
        </w:rPr>
        <w:t>4.189.000,00 kn</w:t>
      </w:r>
      <w:r>
        <w:rPr>
          <w:rFonts w:ascii="Calibri" w:eastAsia="Times New Roman" w:hAnsi="Calibri" w:cs="Calibri"/>
        </w:rPr>
        <w:t xml:space="preserve"> (isporučitelj: CNM&amp;Co. d.o.o. iz Jurdani)</w:t>
      </w:r>
    </w:p>
    <w:p w14:paraId="5C705DEB" w14:textId="77777777" w:rsidR="000B6D3B" w:rsidRDefault="000B6D3B" w:rsidP="000B6D3B">
      <w:pPr>
        <w:spacing w:line="240" w:lineRule="auto"/>
        <w:contextualSpacing/>
        <w:jc w:val="both"/>
        <w:rPr>
          <w:rFonts w:ascii="Calibri" w:eastAsia="Times New Roman" w:hAnsi="Calibri" w:cs="Calibri"/>
        </w:rPr>
      </w:pPr>
    </w:p>
    <w:p w14:paraId="5DCFEB4B"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U prosincu 2020. godine raspisani su natječaji za nabavu kontejnera i geografskog informacijskog sustava (GIS), a ugovaranje nabave planira se do ljeta 2021. godine.</w:t>
      </w:r>
    </w:p>
    <w:p w14:paraId="0C827DCE" w14:textId="77777777" w:rsidR="000B6D3B" w:rsidRDefault="000B6D3B" w:rsidP="000B6D3B">
      <w:pPr>
        <w:spacing w:line="240" w:lineRule="auto"/>
        <w:contextualSpacing/>
        <w:jc w:val="both"/>
        <w:rPr>
          <w:rFonts w:ascii="Calibri" w:eastAsia="Times New Roman" w:hAnsi="Calibri" w:cs="Calibri"/>
        </w:rPr>
      </w:pPr>
    </w:p>
    <w:p w14:paraId="05210E59"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 xml:space="preserve">Društvo je 24. travnja 2019. godine s Ponikve eko otokom Krkom d.o.o. sklopilo Ugovor o međusobnim odnosima u izgradnji elektroničke komunikacijske mreže (EKM) otoka Krka u istom infrastrukturnom kanalu fekalne kanalizacije EU projekta. Sukladno tom ugovoru izgrađena EKM mreža biti će vlasništvo </w:t>
      </w:r>
      <w:r>
        <w:rPr>
          <w:rFonts w:ascii="Calibri" w:eastAsia="Times New Roman" w:hAnsi="Calibri" w:cs="Calibri"/>
        </w:rPr>
        <w:lastRenderedPageBreak/>
        <w:t>društva Ponikve eko otok Krk koje radove i financira. Dodatkom br. 1 Ugovoru o međusobnim odnosima od 02. srpnja 2019. godine uključen je i stručni nadzor. Vrijednost investicije iznosi 13.882.844,77 kn (13.127.144,37 kn – vrijednost radova, 755.700,40 HRK – vrijednost nadzora).</w:t>
      </w:r>
    </w:p>
    <w:p w14:paraId="60301CE2" w14:textId="77777777" w:rsidR="000B6D3B" w:rsidRDefault="000B6D3B" w:rsidP="000B6D3B">
      <w:pPr>
        <w:spacing w:line="240" w:lineRule="auto"/>
        <w:contextualSpacing/>
        <w:jc w:val="both"/>
        <w:rPr>
          <w:rFonts w:ascii="Calibri" w:eastAsia="Times New Roman" w:hAnsi="Calibri" w:cs="Calibri"/>
        </w:rPr>
      </w:pPr>
      <w:r>
        <w:rPr>
          <w:rFonts w:ascii="Calibri" w:eastAsia="Times New Roman" w:hAnsi="Calibri" w:cs="Calibri"/>
        </w:rPr>
        <w:t>Do kraja 2020. godine situirano je 7.031.894,13 kn što je iskazano u troškovima i prihodima Društva.</w:t>
      </w:r>
    </w:p>
    <w:p w14:paraId="30D0FEEB" w14:textId="77777777" w:rsidR="000B6D3B" w:rsidRDefault="000B6D3B" w:rsidP="000B6D3B">
      <w:pPr>
        <w:spacing w:after="0" w:line="240" w:lineRule="auto"/>
        <w:jc w:val="both"/>
        <w:rPr>
          <w:rFonts w:ascii="Calibri" w:eastAsia="Times New Roman" w:hAnsi="Calibri" w:cs="Calibri"/>
        </w:rPr>
      </w:pPr>
    </w:p>
    <w:p w14:paraId="5CD037AA"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Društvo je primilo sljedeće obavijesti o donesenim odlukama o utvrđenim nepravilnostima prema kojima se primjenjuju financijske korekcije:</w:t>
      </w:r>
    </w:p>
    <w:p w14:paraId="3AF45ABC" w14:textId="77777777" w:rsidR="000B6D3B" w:rsidRDefault="000B6D3B" w:rsidP="000B6D3B">
      <w:pPr>
        <w:spacing w:after="0" w:line="240" w:lineRule="auto"/>
        <w:jc w:val="both"/>
        <w:rPr>
          <w:rFonts w:ascii="Calibri" w:eastAsia="Times New Roman" w:hAnsi="Calibri" w:cs="Calibri"/>
        </w:rPr>
      </w:pPr>
    </w:p>
    <w:p w14:paraId="4B49C04D"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1)</w:t>
      </w:r>
      <w:r>
        <w:rPr>
          <w:rFonts w:ascii="Calibri" w:eastAsia="Times New Roman" w:hAnsi="Calibri" w:cs="Calibri"/>
        </w:rPr>
        <w:tab/>
        <w:t>23. svibnja 2018. godine za linijske građevine - financijska korekcija 10%</w:t>
      </w:r>
    </w:p>
    <w:p w14:paraId="67633A4A"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2)</w:t>
      </w:r>
      <w:r>
        <w:rPr>
          <w:rFonts w:ascii="Calibri" w:eastAsia="Times New Roman" w:hAnsi="Calibri" w:cs="Calibri"/>
        </w:rPr>
        <w:tab/>
        <w:t>28. studenog 2018. godine za nadzor - financijska korekcija 5%</w:t>
      </w:r>
    </w:p>
    <w:p w14:paraId="64C00D6F"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3)</w:t>
      </w:r>
      <w:r>
        <w:rPr>
          <w:rFonts w:ascii="Calibri" w:eastAsia="Times New Roman" w:hAnsi="Calibri" w:cs="Calibri"/>
        </w:rPr>
        <w:tab/>
        <w:t xml:space="preserve">08. veljače 2019. godine izmijenjena je odluka od 23. svibnja 2018. godine za linijske građevine - financijska korekcija s 10% povećana je na 25%. Ponikve voda je 19. veljače 2019. godine uputila prigovor Ministarstvu regionalnog razvoja i fondova EU. 04. veljače 2021. godine Hrvatske vode donijele su izmjenu odluke o utvrđenoj nepravilnosti te je financijska korekcija vraćena na 10% prihvatljive vrijednosti izvedenih radova za linijske građevine. </w:t>
      </w:r>
    </w:p>
    <w:p w14:paraId="36D05263" w14:textId="77777777" w:rsidR="000B6D3B" w:rsidRDefault="000B6D3B" w:rsidP="000B6D3B">
      <w:pPr>
        <w:spacing w:after="0" w:line="240" w:lineRule="auto"/>
        <w:jc w:val="both"/>
        <w:rPr>
          <w:rFonts w:ascii="Calibri" w:eastAsia="Times New Roman" w:hAnsi="Calibri" w:cs="Calibri"/>
        </w:rPr>
      </w:pPr>
    </w:p>
    <w:p w14:paraId="70F56B7D" w14:textId="77777777" w:rsidR="000B6D3B" w:rsidRDefault="000B6D3B" w:rsidP="000B6D3B">
      <w:pPr>
        <w:spacing w:after="0" w:line="240" w:lineRule="auto"/>
        <w:jc w:val="both"/>
        <w:rPr>
          <w:rFonts w:ascii="Calibri" w:eastAsia="Times New Roman" w:hAnsi="Calibri" w:cs="Calibri"/>
        </w:rPr>
      </w:pPr>
      <w:r>
        <w:rPr>
          <w:rFonts w:ascii="Calibri" w:eastAsia="Times New Roman" w:hAnsi="Calibri" w:cs="Calibri"/>
        </w:rPr>
        <w:t>Financijske korekcije su neprihvatljivi trošak EU projekta te se financiraju djelom iz postojećeg dugoročnog kredita HBOR-a od 45 mil kn (kojeg vraćaju JLS partneri projekta 100%) te iz dva dugoročna kredita PBZ-a od 18 mil kn i 37 mil kn koji će se vraćati iz naknade za razvoj (88,8005 %) i Društvo (11,1995%).</w:t>
      </w:r>
    </w:p>
    <w:p w14:paraId="12299E36" w14:textId="77777777" w:rsidR="000B6D3B" w:rsidRDefault="000B6D3B" w:rsidP="000B6D3B">
      <w:pPr>
        <w:numPr>
          <w:ilvl w:val="12"/>
          <w:numId w:val="0"/>
        </w:numPr>
        <w:spacing w:after="0" w:line="240" w:lineRule="auto"/>
        <w:jc w:val="both"/>
        <w:rPr>
          <w:rFonts w:ascii="Calibri" w:eastAsia="Calibri" w:hAnsi="Calibri" w:cs="Calibri"/>
          <w:iCs/>
        </w:rPr>
      </w:pPr>
    </w:p>
    <w:p w14:paraId="61A74493" w14:textId="77777777" w:rsidR="000B6D3B" w:rsidRDefault="000B6D3B" w:rsidP="000B6D3B">
      <w:pPr>
        <w:numPr>
          <w:ilvl w:val="12"/>
          <w:numId w:val="0"/>
        </w:numPr>
        <w:spacing w:after="0" w:line="240" w:lineRule="auto"/>
        <w:jc w:val="both"/>
        <w:rPr>
          <w:rFonts w:ascii="Calibri" w:eastAsia="Calibri" w:hAnsi="Calibri" w:cs="Calibri"/>
          <w:iCs/>
        </w:rPr>
      </w:pPr>
    </w:p>
    <w:p w14:paraId="68FE95C4" w14:textId="77777777" w:rsidR="000B6D3B" w:rsidRDefault="000B6D3B" w:rsidP="000B6D3B">
      <w:pPr>
        <w:numPr>
          <w:ilvl w:val="1"/>
          <w:numId w:val="3"/>
        </w:numPr>
        <w:spacing w:after="0" w:line="240" w:lineRule="auto"/>
        <w:contextualSpacing/>
        <w:jc w:val="both"/>
        <w:rPr>
          <w:rFonts w:ascii="Calibri" w:eastAsia="Times New Roman" w:hAnsi="Calibri" w:cs="Calibri"/>
          <w:b/>
          <w:iCs/>
        </w:rPr>
      </w:pPr>
      <w:r>
        <w:rPr>
          <w:rFonts w:ascii="Calibri" w:eastAsia="Times New Roman" w:hAnsi="Calibri" w:cs="Calibri"/>
          <w:b/>
          <w:iCs/>
        </w:rPr>
        <w:t xml:space="preserve"> projektne dokumentacije “Vodoopskrbni sustav Krka-podsustav Ponikve II faza</w:t>
      </w:r>
    </w:p>
    <w:p w14:paraId="09C45C4B" w14:textId="77777777" w:rsidR="000B6D3B" w:rsidRDefault="000B6D3B" w:rsidP="000B6D3B">
      <w:pPr>
        <w:spacing w:after="0" w:line="240" w:lineRule="auto"/>
        <w:ind w:left="360"/>
        <w:contextualSpacing/>
        <w:jc w:val="both"/>
        <w:rPr>
          <w:rFonts w:ascii="Times New Roman" w:eastAsia="Times New Roman" w:hAnsi="Times New Roman" w:cs="Calibri"/>
          <w:iCs/>
          <w:sz w:val="24"/>
          <w:szCs w:val="24"/>
        </w:rPr>
      </w:pPr>
    </w:p>
    <w:p w14:paraId="4D1565CA" w14:textId="77777777" w:rsidR="000B6D3B" w:rsidRDefault="000B6D3B" w:rsidP="000B6D3B">
      <w:pPr>
        <w:numPr>
          <w:ilvl w:val="12"/>
          <w:numId w:val="0"/>
        </w:numPr>
        <w:spacing w:after="0" w:line="240" w:lineRule="auto"/>
        <w:ind w:firstLine="708"/>
        <w:jc w:val="both"/>
        <w:rPr>
          <w:rFonts w:ascii="Calibri" w:eastAsia="Calibri" w:hAnsi="Calibri" w:cs="Calibri"/>
          <w:iCs/>
        </w:rPr>
      </w:pPr>
      <w:bookmarkStart w:id="2" w:name="_Hlk39491307"/>
      <w:r>
        <w:rPr>
          <w:rFonts w:ascii="Calibri" w:eastAsia="Calibri" w:hAnsi="Calibri" w:cs="Calibri"/>
          <w:iCs/>
        </w:rPr>
        <w:t xml:space="preserve">Kroz izvještajno razdoblje nastavljeni su radovi na </w:t>
      </w:r>
      <w:r>
        <w:rPr>
          <w:rFonts w:ascii="Calibri" w:eastAsia="Calibri" w:hAnsi="Calibri" w:cs="Calibri"/>
          <w:bCs/>
          <w:iCs/>
        </w:rPr>
        <w:t>izradi projektne dokumentacije “Vodoopskrbni sustav Krka-podsustav Ponikve II faza; izrada gl</w:t>
      </w:r>
      <w:r>
        <w:rPr>
          <w:rFonts w:ascii="Calibri" w:eastAsia="Calibri" w:hAnsi="Calibri" w:cs="Calibri"/>
          <w:iCs/>
        </w:rPr>
        <w:t>avnog projekta s provođenjem istraživačkih radova za faze 2, 3 i 4”. Podsustav Ponikve II faza podrazumijeva nadvišenje postojeće brane čime će se volumen akumulacije povećati na 7.000.000 m3. Na taj će se način osigurati znatno veće količine vode i bitnije će se utjecati na kvalitetu vode.</w:t>
      </w:r>
      <w:r>
        <w:rPr>
          <w:rFonts w:ascii="Calibri" w:eastAsia="Calibri" w:hAnsi="Calibri" w:cs="Calibri"/>
        </w:rPr>
        <w:t xml:space="preserve"> </w:t>
      </w:r>
      <w:r>
        <w:rPr>
          <w:rFonts w:ascii="Calibri" w:eastAsia="Calibri" w:hAnsi="Calibri" w:cs="Calibri"/>
          <w:iCs/>
        </w:rPr>
        <w:t>Uslugu izrade projekta s istraživačkim radovima ukupne vrijednosti od 4.931.650,00 kn vrši Hidroinženjering d.o.o. iz Zagreba. Do kraja 2020. godine situirano je 4.681.750,00 kn. Hrvatske vode su sudjelovale u sufinanciranju s 80%, a ostatak je osigurala Ponikve voda iz vlastitih sredstava.</w:t>
      </w:r>
    </w:p>
    <w:bookmarkEnd w:id="2"/>
    <w:p w14:paraId="48EEC73B" w14:textId="77777777" w:rsidR="000B6D3B" w:rsidRDefault="000B6D3B" w:rsidP="000B6D3B">
      <w:pPr>
        <w:numPr>
          <w:ilvl w:val="12"/>
          <w:numId w:val="0"/>
        </w:numPr>
        <w:spacing w:after="0" w:line="240" w:lineRule="auto"/>
        <w:jc w:val="both"/>
        <w:rPr>
          <w:rFonts w:ascii="Calibri" w:eastAsia="Calibri" w:hAnsi="Calibri" w:cs="Calibri"/>
          <w:iCs/>
        </w:rPr>
      </w:pPr>
    </w:p>
    <w:p w14:paraId="0B5DFBE7" w14:textId="77777777" w:rsidR="000B6D3B" w:rsidRDefault="000B6D3B" w:rsidP="000B6D3B">
      <w:pPr>
        <w:numPr>
          <w:ilvl w:val="12"/>
          <w:numId w:val="0"/>
        </w:numPr>
        <w:spacing w:after="0" w:line="240" w:lineRule="auto"/>
        <w:jc w:val="both"/>
        <w:rPr>
          <w:rFonts w:ascii="Calibri" w:eastAsia="Calibri" w:hAnsi="Calibri" w:cs="Calibri"/>
          <w:iCs/>
        </w:rPr>
      </w:pPr>
    </w:p>
    <w:p w14:paraId="2F957BC0" w14:textId="77777777" w:rsidR="000B6D3B" w:rsidRDefault="000B6D3B" w:rsidP="000B6D3B">
      <w:pPr>
        <w:numPr>
          <w:ilvl w:val="1"/>
          <w:numId w:val="3"/>
        </w:numPr>
        <w:spacing w:after="0" w:line="240" w:lineRule="auto"/>
        <w:contextualSpacing/>
        <w:rPr>
          <w:rFonts w:ascii="Calibri" w:eastAsia="Times New Roman" w:hAnsi="Calibri" w:cs="Calibri"/>
          <w:b/>
          <w:bCs/>
          <w:iCs/>
        </w:rPr>
      </w:pPr>
      <w:r>
        <w:rPr>
          <w:rFonts w:ascii="Calibri" w:eastAsia="Times New Roman" w:hAnsi="Calibri" w:cs="Calibri"/>
          <w:b/>
          <w:bCs/>
          <w:iCs/>
        </w:rPr>
        <w:t xml:space="preserve"> izgradnja i rekonstrukcija vodovodne mreže i mreže otpadnih voda</w:t>
      </w:r>
    </w:p>
    <w:p w14:paraId="14B93C62" w14:textId="77777777" w:rsidR="000B6D3B" w:rsidRDefault="000B6D3B" w:rsidP="000B6D3B">
      <w:pPr>
        <w:spacing w:after="0" w:line="240" w:lineRule="auto"/>
        <w:jc w:val="both"/>
        <w:rPr>
          <w:rFonts w:ascii="Calibri" w:eastAsia="Calibri" w:hAnsi="Calibri" w:cs="Calibri"/>
          <w:iCs/>
        </w:rPr>
      </w:pPr>
    </w:p>
    <w:p w14:paraId="214E47F5" w14:textId="77777777" w:rsidR="000B6D3B" w:rsidRDefault="000B6D3B" w:rsidP="000B6D3B">
      <w:pPr>
        <w:spacing w:after="0" w:line="240" w:lineRule="auto"/>
        <w:jc w:val="both"/>
        <w:rPr>
          <w:rFonts w:ascii="Calibri" w:eastAsia="Calibri" w:hAnsi="Calibri" w:cs="Calibri"/>
          <w:iCs/>
        </w:rPr>
      </w:pPr>
      <w:r>
        <w:rPr>
          <w:rFonts w:ascii="Calibri" w:eastAsia="Calibri" w:hAnsi="Calibri" w:cs="Calibri"/>
          <w:iCs/>
        </w:rPr>
        <w:t>U 2020. godini nastavilo se s radovima na rekonstrukciji i izgradnji vodovodne mreže i mreže otpadnih fekalnih voda na otoku Krku.  Ugovori o izvođenju radova i obavljanju stručnog nadzora sklopljeni su s više izvođača.</w:t>
      </w:r>
    </w:p>
    <w:p w14:paraId="532B3900" w14:textId="77777777" w:rsidR="000B6D3B" w:rsidRDefault="000B6D3B" w:rsidP="000B6D3B">
      <w:pPr>
        <w:spacing w:after="0" w:line="240" w:lineRule="auto"/>
        <w:jc w:val="both"/>
        <w:rPr>
          <w:rFonts w:ascii="Calibri" w:eastAsia="Calibri" w:hAnsi="Calibri" w:cs="Calibri"/>
          <w:iCs/>
        </w:rPr>
      </w:pPr>
      <w:r>
        <w:rPr>
          <w:rFonts w:ascii="Calibri" w:eastAsia="Calibri" w:hAnsi="Calibri" w:cs="Calibri"/>
          <w:iCs/>
        </w:rPr>
        <w:t>Sredstva su osigurana iz naknade za razvoj, sredstava Hrvatskih voda (naknade za korištenje i zaštitu voda), sredstva proračuna jedinica lokalne samouprave i iz vlastitih sredstava.</w:t>
      </w:r>
    </w:p>
    <w:p w14:paraId="3C369B47" w14:textId="77777777" w:rsidR="000B6D3B" w:rsidRDefault="000B6D3B" w:rsidP="000B6D3B">
      <w:pPr>
        <w:spacing w:after="0" w:line="240" w:lineRule="auto"/>
        <w:jc w:val="both"/>
        <w:rPr>
          <w:rFonts w:ascii="Calibri" w:eastAsia="Calibri" w:hAnsi="Calibri" w:cs="Calibri"/>
          <w:iCs/>
        </w:rPr>
      </w:pPr>
    </w:p>
    <w:p w14:paraId="15EFCA50" w14:textId="77777777" w:rsidR="000B6D3B" w:rsidRDefault="000B6D3B" w:rsidP="000B6D3B">
      <w:pPr>
        <w:spacing w:after="0" w:line="240" w:lineRule="auto"/>
        <w:jc w:val="both"/>
        <w:rPr>
          <w:rFonts w:ascii="Calibri" w:eastAsia="Calibri" w:hAnsi="Calibri" w:cs="Calibri"/>
          <w:iCs/>
        </w:rPr>
      </w:pPr>
    </w:p>
    <w:p w14:paraId="2B311889" w14:textId="77777777" w:rsidR="000B6D3B" w:rsidRDefault="000B6D3B" w:rsidP="000B6D3B">
      <w:pPr>
        <w:numPr>
          <w:ilvl w:val="0"/>
          <w:numId w:val="6"/>
        </w:numPr>
        <w:spacing w:after="0" w:line="240" w:lineRule="auto"/>
        <w:ind w:right="22"/>
        <w:contextualSpacing/>
        <w:jc w:val="both"/>
        <w:rPr>
          <w:rFonts w:ascii="Calibri" w:eastAsia="Times New Roman" w:hAnsi="Calibri" w:cs="Calibri"/>
          <w:b/>
          <w:sz w:val="24"/>
          <w:szCs w:val="24"/>
        </w:rPr>
      </w:pPr>
      <w:r>
        <w:rPr>
          <w:rFonts w:ascii="Calibri" w:eastAsia="Times New Roman" w:hAnsi="Calibri" w:cs="Calibri"/>
          <w:b/>
          <w:sz w:val="24"/>
          <w:szCs w:val="24"/>
        </w:rPr>
        <w:t>UPRAVLJANJE RIZICIMA</w:t>
      </w:r>
    </w:p>
    <w:p w14:paraId="1586FF76" w14:textId="77777777" w:rsidR="000B6D3B" w:rsidRDefault="000B6D3B" w:rsidP="000B6D3B">
      <w:pPr>
        <w:spacing w:after="0" w:line="240" w:lineRule="auto"/>
        <w:ind w:right="-367"/>
        <w:jc w:val="both"/>
        <w:rPr>
          <w:rFonts w:ascii="Calibri" w:eastAsia="Calibri" w:hAnsi="Calibri" w:cs="Calibri"/>
          <w:bCs/>
        </w:rPr>
      </w:pPr>
    </w:p>
    <w:p w14:paraId="7703147A" w14:textId="77777777" w:rsidR="000B6D3B" w:rsidRDefault="000B6D3B" w:rsidP="000B6D3B">
      <w:pPr>
        <w:spacing w:after="0" w:line="240" w:lineRule="auto"/>
        <w:ind w:right="-367"/>
        <w:jc w:val="both"/>
        <w:rPr>
          <w:rFonts w:ascii="Calibri" w:eastAsia="Times New Roman" w:hAnsi="Calibri" w:cs="Calibri"/>
          <w:b/>
          <w:bCs/>
          <w:iCs/>
        </w:rPr>
      </w:pPr>
      <w:r>
        <w:rPr>
          <w:rFonts w:ascii="Calibri" w:eastAsia="Times New Roman" w:hAnsi="Calibri" w:cs="Calibri"/>
          <w:b/>
          <w:bCs/>
          <w:iCs/>
        </w:rPr>
        <w:t>VALUTNI RIZIK</w:t>
      </w:r>
    </w:p>
    <w:p w14:paraId="4C357884" w14:textId="77777777" w:rsidR="000B6D3B" w:rsidRDefault="000B6D3B" w:rsidP="000B6D3B">
      <w:pPr>
        <w:spacing w:after="0" w:line="240" w:lineRule="auto"/>
        <w:ind w:right="-367"/>
        <w:jc w:val="both"/>
        <w:rPr>
          <w:rFonts w:ascii="Calibri" w:eastAsia="Times New Roman" w:hAnsi="Calibri" w:cs="Calibri"/>
          <w:b/>
          <w:bCs/>
          <w:iCs/>
          <w:sz w:val="10"/>
          <w:szCs w:val="10"/>
        </w:rPr>
      </w:pPr>
    </w:p>
    <w:p w14:paraId="3A5D44E2" w14:textId="77777777" w:rsidR="000B6D3B" w:rsidRDefault="000B6D3B" w:rsidP="000B6D3B">
      <w:pPr>
        <w:spacing w:after="0" w:line="240" w:lineRule="auto"/>
        <w:ind w:right="22"/>
        <w:jc w:val="both"/>
        <w:rPr>
          <w:rFonts w:ascii="Calibri" w:eastAsia="Times New Roman" w:hAnsi="Calibri" w:cs="Calibri"/>
          <w:iCs/>
        </w:rPr>
      </w:pPr>
      <w:r>
        <w:rPr>
          <w:rFonts w:ascii="Calibri" w:eastAsia="Times New Roman" w:hAnsi="Calibri" w:cs="Calibri"/>
          <w:iCs/>
        </w:rPr>
        <w:t>Valutni rizik je rizik da će se vrijednosti financijskih instrumenata promijeniti uslijed promjene tečaja. Društvo je izloženo promjenama vrijednosti EUR-a, jer je dio obveza po dugoročnim kreditima denominirano u stranoj valuti, što Društvo izlaže valutnom riziku. Upravljanje ovim rizikom svodi se na usklađivanje priljeva od naplate potraživanja od kupaca.</w:t>
      </w:r>
    </w:p>
    <w:p w14:paraId="27285F48" w14:textId="77777777" w:rsidR="000B6D3B" w:rsidRDefault="000B6D3B" w:rsidP="000B6D3B">
      <w:pPr>
        <w:spacing w:after="0" w:line="240" w:lineRule="auto"/>
        <w:ind w:right="22"/>
        <w:jc w:val="both"/>
        <w:rPr>
          <w:rFonts w:ascii="Calibri" w:eastAsia="Times New Roman" w:hAnsi="Calibri" w:cs="Calibri"/>
          <w:iCs/>
        </w:rPr>
      </w:pPr>
    </w:p>
    <w:p w14:paraId="52DC0414" w14:textId="77777777" w:rsidR="000B6D3B" w:rsidRDefault="000B6D3B" w:rsidP="000B6D3B">
      <w:pPr>
        <w:spacing w:after="0" w:line="240" w:lineRule="auto"/>
        <w:ind w:right="22"/>
        <w:jc w:val="both"/>
        <w:rPr>
          <w:rFonts w:ascii="Calibri" w:eastAsia="Times New Roman" w:hAnsi="Calibri" w:cs="Calibri"/>
          <w:b/>
          <w:bCs/>
          <w:iCs/>
        </w:rPr>
      </w:pPr>
      <w:r>
        <w:rPr>
          <w:rFonts w:ascii="Calibri" w:eastAsia="Times New Roman" w:hAnsi="Calibri" w:cs="Calibri"/>
          <w:b/>
          <w:bCs/>
          <w:iCs/>
        </w:rPr>
        <w:lastRenderedPageBreak/>
        <w:t>KAMATNI RIZIK</w:t>
      </w:r>
    </w:p>
    <w:p w14:paraId="5D955293" w14:textId="77777777" w:rsidR="000B6D3B" w:rsidRDefault="000B6D3B" w:rsidP="000B6D3B">
      <w:pPr>
        <w:spacing w:after="0" w:line="240" w:lineRule="auto"/>
        <w:ind w:right="22"/>
        <w:jc w:val="both"/>
        <w:rPr>
          <w:rFonts w:ascii="Calibri" w:eastAsia="Times New Roman" w:hAnsi="Calibri" w:cs="Calibri"/>
          <w:b/>
          <w:bCs/>
          <w:iCs/>
          <w:sz w:val="10"/>
          <w:szCs w:val="10"/>
        </w:rPr>
      </w:pPr>
    </w:p>
    <w:p w14:paraId="448DAD0A" w14:textId="77777777" w:rsidR="000B6D3B" w:rsidRDefault="000B6D3B" w:rsidP="000B6D3B">
      <w:pPr>
        <w:spacing w:after="0" w:line="240" w:lineRule="auto"/>
        <w:ind w:right="22"/>
        <w:jc w:val="both"/>
        <w:rPr>
          <w:rFonts w:ascii="Calibri" w:eastAsia="Times New Roman" w:hAnsi="Calibri" w:cs="Calibri"/>
          <w:iCs/>
        </w:rPr>
      </w:pPr>
      <w:r>
        <w:rPr>
          <w:rFonts w:ascii="Calibri" w:eastAsia="Times New Roman" w:hAnsi="Calibri" w:cs="Calibri"/>
          <w:iCs/>
        </w:rPr>
        <w:t xml:space="preserve">Kamatni rizik je rizik da će se vrijednosti financijskih instrumenata promijeniti uslijed promjene tržišnih kamatnih stopa u odnosu na kamatne stope primjenjive na financijske instrumente. Društvo ima dugoročne obveze po tri kredita uz promjenjivu kamatnu stopu, te kao posljedicu toga izloženost riziku promjene kamatne stope. </w:t>
      </w:r>
    </w:p>
    <w:p w14:paraId="0A343818" w14:textId="77777777" w:rsidR="000B6D3B" w:rsidRDefault="000B6D3B" w:rsidP="000B6D3B">
      <w:pPr>
        <w:spacing w:after="0" w:line="240" w:lineRule="auto"/>
        <w:ind w:right="22"/>
        <w:jc w:val="both"/>
        <w:rPr>
          <w:rFonts w:ascii="Calibri" w:eastAsia="Times New Roman" w:hAnsi="Calibri" w:cs="Calibri"/>
          <w:iCs/>
        </w:rPr>
      </w:pPr>
      <w:r>
        <w:rPr>
          <w:rFonts w:ascii="Calibri" w:eastAsia="Times New Roman" w:hAnsi="Calibri" w:cs="Calibri"/>
          <w:iCs/>
        </w:rPr>
        <w:t>Upravljanje ovim rizikom, u jednom dijelu svodi se na usklađenje priljeva sredstava iz naknade za razvoj za podmirenje obveza po kamatama budući se naknada za razvoj namjenski koristi za otplatu tih kredita.</w:t>
      </w:r>
    </w:p>
    <w:p w14:paraId="1058B3EF" w14:textId="77777777" w:rsidR="000B6D3B" w:rsidRDefault="000B6D3B" w:rsidP="000B6D3B">
      <w:pPr>
        <w:spacing w:after="0" w:line="240" w:lineRule="auto"/>
        <w:ind w:right="22"/>
        <w:jc w:val="both"/>
        <w:rPr>
          <w:rFonts w:ascii="Calibri" w:eastAsia="Times New Roman" w:hAnsi="Calibri" w:cs="Calibri"/>
          <w:b/>
          <w:bCs/>
          <w:iCs/>
        </w:rPr>
      </w:pPr>
    </w:p>
    <w:p w14:paraId="35FB88AE" w14:textId="77777777" w:rsidR="000B6D3B" w:rsidRDefault="000B6D3B" w:rsidP="000B6D3B">
      <w:pPr>
        <w:spacing w:after="0" w:line="240" w:lineRule="auto"/>
        <w:ind w:right="22"/>
        <w:jc w:val="both"/>
        <w:rPr>
          <w:rFonts w:ascii="Calibri" w:eastAsia="Times New Roman" w:hAnsi="Calibri" w:cs="Calibri"/>
          <w:b/>
          <w:bCs/>
          <w:iCs/>
        </w:rPr>
      </w:pPr>
      <w:r>
        <w:rPr>
          <w:rFonts w:ascii="Calibri" w:eastAsia="Times New Roman" w:hAnsi="Calibri" w:cs="Calibri"/>
          <w:b/>
          <w:bCs/>
          <w:iCs/>
        </w:rPr>
        <w:t>KREDITNI RIZIK</w:t>
      </w:r>
    </w:p>
    <w:p w14:paraId="0DB73F2D" w14:textId="77777777" w:rsidR="000B6D3B" w:rsidRDefault="000B6D3B" w:rsidP="000B6D3B">
      <w:pPr>
        <w:spacing w:after="0" w:line="240" w:lineRule="auto"/>
        <w:ind w:right="22"/>
        <w:jc w:val="both"/>
        <w:rPr>
          <w:rFonts w:ascii="Calibri" w:eastAsia="Times New Roman" w:hAnsi="Calibri" w:cs="Calibri"/>
          <w:iCs/>
          <w:sz w:val="10"/>
          <w:szCs w:val="10"/>
        </w:rPr>
      </w:pPr>
    </w:p>
    <w:p w14:paraId="49FF4B28" w14:textId="77777777" w:rsidR="000B6D3B" w:rsidRDefault="000B6D3B" w:rsidP="000B6D3B">
      <w:pPr>
        <w:spacing w:after="0" w:line="240" w:lineRule="auto"/>
        <w:ind w:right="22"/>
        <w:jc w:val="both"/>
        <w:rPr>
          <w:rFonts w:ascii="Calibri" w:eastAsia="Times New Roman" w:hAnsi="Calibri" w:cs="Calibri"/>
          <w:iCs/>
        </w:rPr>
      </w:pPr>
      <w:r>
        <w:rPr>
          <w:rFonts w:ascii="Calibri" w:eastAsia="Times New Roman" w:hAnsi="Calibri" w:cs="Calibri"/>
          <w:iC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61F32501" w14:textId="77777777" w:rsidR="000B6D3B" w:rsidRDefault="000B6D3B" w:rsidP="000B6D3B">
      <w:pPr>
        <w:spacing w:after="0" w:line="240" w:lineRule="auto"/>
        <w:ind w:right="22"/>
        <w:jc w:val="both"/>
        <w:rPr>
          <w:rFonts w:ascii="Calibri" w:eastAsia="Times New Roman" w:hAnsi="Calibri" w:cs="Calibri"/>
          <w:b/>
          <w:bCs/>
          <w:iCs/>
        </w:rPr>
      </w:pPr>
    </w:p>
    <w:p w14:paraId="47DF91A5" w14:textId="77777777" w:rsidR="000B6D3B" w:rsidRDefault="000B6D3B" w:rsidP="000B6D3B">
      <w:pPr>
        <w:spacing w:after="0" w:line="240" w:lineRule="auto"/>
        <w:ind w:right="22"/>
        <w:jc w:val="both"/>
        <w:rPr>
          <w:rFonts w:ascii="Calibri" w:eastAsia="Times New Roman" w:hAnsi="Calibri" w:cs="Calibri"/>
          <w:b/>
          <w:bCs/>
          <w:iCs/>
        </w:rPr>
      </w:pPr>
      <w:r>
        <w:rPr>
          <w:rFonts w:ascii="Calibri" w:eastAsia="Times New Roman" w:hAnsi="Calibri" w:cs="Calibri"/>
          <w:b/>
          <w:bCs/>
          <w:iCs/>
        </w:rPr>
        <w:t>RIZIK LIKVIDNOSTI</w:t>
      </w:r>
    </w:p>
    <w:p w14:paraId="66E35190" w14:textId="77777777" w:rsidR="000B6D3B" w:rsidRDefault="000B6D3B" w:rsidP="000B6D3B">
      <w:pPr>
        <w:spacing w:after="0" w:line="240" w:lineRule="auto"/>
        <w:ind w:right="22"/>
        <w:jc w:val="both"/>
        <w:rPr>
          <w:rFonts w:ascii="Calibri" w:eastAsia="Times New Roman" w:hAnsi="Calibri" w:cs="Calibri"/>
          <w:iCs/>
          <w:sz w:val="10"/>
          <w:szCs w:val="10"/>
        </w:rPr>
      </w:pPr>
    </w:p>
    <w:p w14:paraId="39BCED5C" w14:textId="77777777" w:rsidR="000B6D3B" w:rsidRDefault="000B6D3B" w:rsidP="000B6D3B">
      <w:pPr>
        <w:overflowPunct w:val="0"/>
        <w:autoSpaceDE w:val="0"/>
        <w:autoSpaceDN w:val="0"/>
        <w:adjustRightInd w:val="0"/>
        <w:spacing w:after="0" w:line="240" w:lineRule="auto"/>
        <w:jc w:val="both"/>
        <w:textAlignment w:val="baseline"/>
        <w:rPr>
          <w:rFonts w:ascii="Calibri" w:eastAsia="Times New Roman" w:hAnsi="Calibri" w:cs="Calibri"/>
          <w:iCs/>
        </w:rPr>
      </w:pPr>
      <w:r>
        <w:rPr>
          <w:rFonts w:ascii="Calibri" w:eastAsia="Times New Roman" w:hAnsi="Calibri" w:cs="Calibri"/>
          <w:iCs/>
        </w:rPr>
        <w:t xml:space="preserve">Rizik likvidnosti, koji se također naziva rizikom financiranja, je rizik suočavanja Društva s teškoćama u pribavljanju sredstava za podmirenje obveza po financijskim instrumentima.  Kratkoročne obveze Društva koje dospijevaju u 2020. godini pokrivene su kratkotrajnom imovinom, budući se dijelom podmiruju iz vlastitih sredstava, naknade za razvoj, a dijelom iz sredstava proračuna. </w:t>
      </w:r>
    </w:p>
    <w:p w14:paraId="1FEAB96A" w14:textId="77777777" w:rsidR="000B6D3B" w:rsidRDefault="000B6D3B" w:rsidP="000B6D3B">
      <w:pPr>
        <w:overflowPunct w:val="0"/>
        <w:autoSpaceDE w:val="0"/>
        <w:autoSpaceDN w:val="0"/>
        <w:adjustRightInd w:val="0"/>
        <w:spacing w:after="0" w:line="240" w:lineRule="auto"/>
        <w:jc w:val="both"/>
        <w:textAlignment w:val="baseline"/>
        <w:rPr>
          <w:rFonts w:ascii="Calibri" w:eastAsia="Times New Roman" w:hAnsi="Calibri" w:cs="Calibri"/>
          <w:iCs/>
        </w:rPr>
      </w:pPr>
      <w:r>
        <w:rPr>
          <w:rFonts w:ascii="Calibri" w:eastAsia="Times New Roman" w:hAnsi="Calibri" w:cs="Calibri"/>
          <w:iCs/>
        </w:rPr>
        <w:t>Kao što je navedeno u Bilješci 6., pandemija bolesti COVID-19 uzrokovana virusom SARS-CoV-2 (koronavirus) imat će utjecaj na poslovanje u 2021. godini, kako na smanjenje prihoda tako i na likvidnost.</w:t>
      </w:r>
    </w:p>
    <w:p w14:paraId="0AD7ECEE" w14:textId="77777777" w:rsidR="000B6D3B" w:rsidRDefault="000B6D3B" w:rsidP="000B6D3B">
      <w:pPr>
        <w:tabs>
          <w:tab w:val="left" w:pos="-180"/>
        </w:tabs>
        <w:spacing w:after="0" w:line="240" w:lineRule="auto"/>
        <w:ind w:right="-17"/>
        <w:jc w:val="both"/>
        <w:rPr>
          <w:rFonts w:ascii="Calibri" w:eastAsia="Times New Roman" w:hAnsi="Calibri" w:cs="Calibri"/>
          <w:b/>
          <w:bCs/>
          <w:iCs/>
          <w:caps/>
        </w:rPr>
      </w:pPr>
    </w:p>
    <w:p w14:paraId="18A91CA3" w14:textId="77777777" w:rsidR="000B6D3B" w:rsidRDefault="000B6D3B" w:rsidP="000B6D3B">
      <w:pPr>
        <w:tabs>
          <w:tab w:val="left" w:pos="-180"/>
        </w:tabs>
        <w:spacing w:after="0" w:line="240" w:lineRule="auto"/>
        <w:ind w:right="-17"/>
        <w:jc w:val="both"/>
        <w:rPr>
          <w:rFonts w:ascii="Calibri" w:eastAsia="Times New Roman" w:hAnsi="Calibri" w:cs="Calibri"/>
          <w:b/>
          <w:bCs/>
          <w:iCs/>
          <w:caps/>
        </w:rPr>
      </w:pPr>
      <w:r>
        <w:rPr>
          <w:rFonts w:ascii="Calibri" w:eastAsia="Times New Roman" w:hAnsi="Calibri" w:cs="Calibri"/>
          <w:b/>
          <w:bCs/>
          <w:iCs/>
          <w:caps/>
        </w:rPr>
        <w:t>Procjena fer vrijednosti</w:t>
      </w:r>
    </w:p>
    <w:p w14:paraId="2ABC5935" w14:textId="77777777" w:rsidR="000B6D3B" w:rsidRDefault="000B6D3B" w:rsidP="000B6D3B">
      <w:pPr>
        <w:tabs>
          <w:tab w:val="left" w:pos="-180"/>
        </w:tabs>
        <w:spacing w:after="0" w:line="240" w:lineRule="auto"/>
        <w:ind w:right="-17"/>
        <w:jc w:val="both"/>
        <w:rPr>
          <w:rFonts w:ascii="Calibri" w:eastAsia="Times New Roman" w:hAnsi="Calibri" w:cs="Calibri"/>
          <w:b/>
          <w:bCs/>
          <w:iCs/>
          <w:caps/>
          <w:sz w:val="10"/>
          <w:szCs w:val="10"/>
        </w:rPr>
      </w:pPr>
    </w:p>
    <w:p w14:paraId="16B6FE61" w14:textId="77777777" w:rsidR="000B6D3B" w:rsidRDefault="000B6D3B" w:rsidP="000B6D3B">
      <w:pPr>
        <w:tabs>
          <w:tab w:val="left" w:pos="-180"/>
        </w:tabs>
        <w:spacing w:after="0" w:line="240" w:lineRule="auto"/>
        <w:ind w:right="-17"/>
        <w:jc w:val="both"/>
        <w:rPr>
          <w:rFonts w:ascii="Calibri" w:eastAsia="Times New Roman" w:hAnsi="Calibri" w:cs="Calibri"/>
          <w:iCs/>
        </w:rPr>
      </w:pPr>
      <w:r>
        <w:rPr>
          <w:rFonts w:ascii="Calibri" w:eastAsia="Times New Roman" w:hAnsi="Calibri" w:cs="Calibri"/>
          <w:iC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05498497" w14:textId="77777777" w:rsidR="000B6D3B" w:rsidRDefault="000B6D3B" w:rsidP="000B6D3B">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Calibri"/>
          <w:iCs/>
          <w:lang w:eastAsia="hr-HR"/>
        </w:rPr>
      </w:pPr>
      <w:r>
        <w:rPr>
          <w:rFonts w:ascii="Calibri" w:eastAsia="Times New Roman" w:hAnsi="Calibri" w:cs="Calibri"/>
          <w:iCs/>
          <w:lang w:eastAsia="hr-HR"/>
        </w:rPr>
        <w:t xml:space="preserve">Iskazana knjigovodstvena vrijednost novca i novčanih ekvivalenata približna je njihovoj fer vrijednosti zbog kratkoročnog dospijeća ovih financijskih instrumenata. </w:t>
      </w:r>
    </w:p>
    <w:p w14:paraId="707054EB" w14:textId="77777777" w:rsidR="000B6D3B" w:rsidRDefault="000B6D3B" w:rsidP="000B6D3B">
      <w:pPr>
        <w:spacing w:after="0" w:line="240" w:lineRule="auto"/>
        <w:ind w:right="92"/>
        <w:jc w:val="both"/>
        <w:rPr>
          <w:rFonts w:ascii="Calibri" w:eastAsia="Calibri" w:hAnsi="Calibri" w:cs="Calibri"/>
          <w:iCs/>
        </w:rPr>
      </w:pPr>
    </w:p>
    <w:p w14:paraId="2076A0D4" w14:textId="77777777" w:rsidR="000B6D3B" w:rsidRDefault="000B6D3B" w:rsidP="000B6D3B">
      <w:pPr>
        <w:spacing w:after="0" w:line="240" w:lineRule="auto"/>
        <w:ind w:right="92"/>
        <w:jc w:val="both"/>
        <w:rPr>
          <w:rFonts w:ascii="Calibri" w:eastAsia="Calibri" w:hAnsi="Calibri" w:cs="Calibri"/>
          <w:iCs/>
        </w:rPr>
      </w:pPr>
    </w:p>
    <w:p w14:paraId="080A0D99" w14:textId="77777777" w:rsidR="000B6D3B" w:rsidRDefault="000B6D3B" w:rsidP="000B6D3B">
      <w:pPr>
        <w:numPr>
          <w:ilvl w:val="0"/>
          <w:numId w:val="6"/>
        </w:numPr>
        <w:spacing w:after="0" w:line="240" w:lineRule="auto"/>
        <w:ind w:right="91"/>
        <w:contextualSpacing/>
        <w:jc w:val="both"/>
        <w:rPr>
          <w:rFonts w:ascii="Calibri" w:eastAsia="Times New Roman" w:hAnsi="Calibri" w:cs="Calibri"/>
          <w:b/>
          <w:bCs/>
          <w:iCs/>
          <w:sz w:val="24"/>
          <w:szCs w:val="24"/>
        </w:rPr>
      </w:pPr>
      <w:r>
        <w:rPr>
          <w:rFonts w:ascii="Calibri" w:eastAsia="Times New Roman" w:hAnsi="Calibri" w:cs="Calibri"/>
          <w:b/>
          <w:bCs/>
          <w:iCs/>
          <w:sz w:val="24"/>
          <w:szCs w:val="24"/>
        </w:rPr>
        <w:t xml:space="preserve">DOGAĐAJI NAKON DATUMA BILANCE </w:t>
      </w:r>
    </w:p>
    <w:p w14:paraId="04B85365" w14:textId="77777777" w:rsidR="000B6D3B" w:rsidRDefault="000B6D3B" w:rsidP="000B6D3B">
      <w:pPr>
        <w:spacing w:after="0" w:line="240" w:lineRule="auto"/>
        <w:ind w:right="91"/>
        <w:jc w:val="both"/>
        <w:rPr>
          <w:rFonts w:ascii="Calibri" w:eastAsia="Calibri" w:hAnsi="Calibri" w:cs="Calibri"/>
          <w:iCs/>
        </w:rPr>
      </w:pPr>
    </w:p>
    <w:p w14:paraId="2E63EEA2" w14:textId="77777777" w:rsidR="000B6D3B" w:rsidRDefault="000B6D3B" w:rsidP="000B6D3B">
      <w:pPr>
        <w:numPr>
          <w:ilvl w:val="1"/>
          <w:numId w:val="6"/>
        </w:numPr>
        <w:spacing w:after="0" w:line="240" w:lineRule="auto"/>
        <w:ind w:right="91"/>
        <w:contextualSpacing/>
        <w:jc w:val="both"/>
        <w:rPr>
          <w:rFonts w:ascii="Calibri" w:eastAsia="Times New Roman" w:hAnsi="Calibri" w:cs="Calibri"/>
          <w:b/>
          <w:bCs/>
        </w:rPr>
      </w:pPr>
      <w:r>
        <w:rPr>
          <w:rFonts w:ascii="Calibri" w:eastAsia="Times New Roman" w:hAnsi="Calibri" w:cs="Calibri"/>
          <w:b/>
          <w:bCs/>
        </w:rPr>
        <w:t xml:space="preserve">Izmjene Društvenog ugovora 17. veljače 2021. godine - prijenos poslovnog udjela i povećanje temeljnog kapitala društva </w:t>
      </w:r>
    </w:p>
    <w:p w14:paraId="4AC68562" w14:textId="77777777" w:rsidR="000B6D3B" w:rsidRDefault="000B6D3B" w:rsidP="000B6D3B">
      <w:pPr>
        <w:spacing w:after="0" w:line="240" w:lineRule="auto"/>
        <w:ind w:right="91"/>
        <w:jc w:val="both"/>
        <w:rPr>
          <w:rFonts w:ascii="Calibri" w:eastAsia="Times New Roman" w:hAnsi="Calibri" w:cs="Calibri"/>
          <w:b/>
          <w:bCs/>
        </w:rPr>
      </w:pPr>
    </w:p>
    <w:p w14:paraId="3CF7D3D9" w14:textId="77777777" w:rsidR="000B6D3B" w:rsidRDefault="000B6D3B" w:rsidP="000B6D3B">
      <w:pPr>
        <w:spacing w:after="0" w:line="240" w:lineRule="auto"/>
        <w:ind w:right="91"/>
        <w:jc w:val="both"/>
        <w:rPr>
          <w:rFonts w:ascii="Calibri" w:eastAsia="Times New Roman" w:hAnsi="Calibri" w:cs="Calibri"/>
        </w:rPr>
      </w:pPr>
      <w:r>
        <w:rPr>
          <w:rFonts w:ascii="Calibri" w:eastAsia="Times New Roman" w:hAnsi="Calibri" w:cs="Calibri"/>
        </w:rPr>
        <w:t>Rješenjem Trgovačkog suda od 17. veljače 2021. godine provedene su sljedeći upisi:</w:t>
      </w:r>
    </w:p>
    <w:p w14:paraId="0A86FE1B" w14:textId="77777777" w:rsidR="000B6D3B" w:rsidRDefault="000B6D3B" w:rsidP="000B6D3B">
      <w:pPr>
        <w:spacing w:after="0" w:line="240" w:lineRule="auto"/>
        <w:ind w:right="91"/>
        <w:jc w:val="both"/>
        <w:rPr>
          <w:rFonts w:ascii="Calibri" w:eastAsia="Times New Roman" w:hAnsi="Calibri" w:cs="Calibri"/>
        </w:rPr>
      </w:pPr>
    </w:p>
    <w:p w14:paraId="77CF1637" w14:textId="77777777" w:rsidR="000B6D3B" w:rsidRDefault="000B6D3B" w:rsidP="000B6D3B">
      <w:pPr>
        <w:numPr>
          <w:ilvl w:val="0"/>
          <w:numId w:val="4"/>
        </w:numPr>
        <w:spacing w:after="0" w:line="240" w:lineRule="auto"/>
        <w:ind w:left="284" w:right="91" w:hanging="284"/>
        <w:contextualSpacing/>
        <w:jc w:val="both"/>
        <w:rPr>
          <w:rFonts w:ascii="Calibri" w:eastAsia="Times New Roman" w:hAnsi="Calibri" w:cs="Calibri"/>
        </w:rPr>
      </w:pPr>
      <w:r>
        <w:rPr>
          <w:rFonts w:ascii="Calibri" w:eastAsia="Times New Roman" w:hAnsi="Calibri" w:cs="Calibri"/>
        </w:rPr>
        <w:t>Temeljem Sporazuma o spajanju fekalne kanalizacije naselja Kornić na uređaj za pročišćavanje otpadnih voda naselja Punat od 14. svibnja 2010. godine i Dodatka I Sporazuma od 28. srpnja 2020. godine izvršen je prijenosa poslovnog udjela s Općine Punat na Grad Krk nominalnog iznosa 740.800,00 kn.</w:t>
      </w:r>
    </w:p>
    <w:p w14:paraId="5E9435F6" w14:textId="77777777" w:rsidR="000B6D3B" w:rsidRDefault="000B6D3B" w:rsidP="000B6D3B">
      <w:pPr>
        <w:spacing w:after="0" w:line="240" w:lineRule="auto"/>
        <w:ind w:right="91"/>
        <w:jc w:val="both"/>
        <w:rPr>
          <w:rFonts w:ascii="Calibri" w:eastAsia="Times New Roman" w:hAnsi="Calibri" w:cs="Calibri"/>
        </w:rPr>
      </w:pPr>
      <w:r>
        <w:rPr>
          <w:rFonts w:ascii="Calibri" w:eastAsia="Times New Roman" w:hAnsi="Calibri" w:cs="Calibri"/>
        </w:rPr>
        <w:t xml:space="preserve"> </w:t>
      </w:r>
    </w:p>
    <w:p w14:paraId="76E7137A" w14:textId="77777777" w:rsidR="000B6D3B" w:rsidRDefault="000B6D3B" w:rsidP="000B6D3B">
      <w:pPr>
        <w:numPr>
          <w:ilvl w:val="0"/>
          <w:numId w:val="4"/>
        </w:numPr>
        <w:spacing w:after="0" w:line="240" w:lineRule="auto"/>
        <w:ind w:left="284" w:right="91" w:hanging="284"/>
        <w:contextualSpacing/>
        <w:jc w:val="both"/>
        <w:rPr>
          <w:rFonts w:ascii="Calibri" w:eastAsia="Times New Roman" w:hAnsi="Calibri" w:cs="Calibri"/>
        </w:rPr>
      </w:pPr>
      <w:r>
        <w:rPr>
          <w:rFonts w:ascii="Calibri" w:eastAsia="Times New Roman" w:hAnsi="Calibri" w:cs="Calibri"/>
        </w:rPr>
        <w:t xml:space="preserve">Članovi Društva donijeli su 23. prosinca 2020. godine Odluku o povećanju temeljnog kapitala društva ulaganjem prava. Prava su se unijela temeljem ugovora o ulaganju prava u temeljni kapital Društva od 23. prosinca 2020. godine, sklopljenih između Društva i postojećih članova društva. Unesena prava se odnose na sredstva uplaćena u razdoblju od 1. siječnja 2011. godine do 31. </w:t>
      </w:r>
      <w:r>
        <w:rPr>
          <w:rFonts w:ascii="Calibri" w:eastAsia="Times New Roman" w:hAnsi="Calibri" w:cs="Calibri"/>
        </w:rPr>
        <w:lastRenderedPageBreak/>
        <w:t>prosinca 2019. godine temeljem ugovora o financiranju izgradnje objekata i uređaja komunalne infrastrukture, sklopljenih između Društva i postojećih članova društva. Ukupno je doznačeno 56.068.094,53 kn, od čega se temeljni kapital povećao za iznos od 56.067.800,00 kn, a razlika od 294,53 kn raspoređena je u kapitalni dobitak.</w:t>
      </w:r>
    </w:p>
    <w:p w14:paraId="19E32BDB" w14:textId="77777777" w:rsidR="000B6D3B" w:rsidRDefault="000B6D3B" w:rsidP="000B6D3B">
      <w:pPr>
        <w:spacing w:after="0" w:line="240" w:lineRule="auto"/>
        <w:ind w:right="92"/>
        <w:jc w:val="both"/>
        <w:rPr>
          <w:rFonts w:ascii="Calibri" w:eastAsia="Times New Roman" w:hAnsi="Calibri" w:cs="Times New Roman"/>
          <w:sz w:val="24"/>
          <w:szCs w:val="24"/>
        </w:rPr>
      </w:pPr>
    </w:p>
    <w:tbl>
      <w:tblPr>
        <w:tblW w:w="9734" w:type="dxa"/>
        <w:tblInd w:w="131" w:type="dxa"/>
        <w:tblLook w:val="04A0" w:firstRow="1" w:lastRow="0" w:firstColumn="1" w:lastColumn="0" w:noHBand="0" w:noVBand="1"/>
      </w:tblPr>
      <w:tblGrid>
        <w:gridCol w:w="1027"/>
        <w:gridCol w:w="891"/>
        <w:gridCol w:w="1134"/>
        <w:gridCol w:w="1018"/>
        <w:gridCol w:w="1134"/>
        <w:gridCol w:w="1042"/>
        <w:gridCol w:w="1134"/>
        <w:gridCol w:w="915"/>
        <w:gridCol w:w="883"/>
        <w:gridCol w:w="626"/>
      </w:tblGrid>
      <w:tr w:rsidR="000B6D3B" w14:paraId="506311E2" w14:textId="77777777" w:rsidTr="000B6D3B">
        <w:trPr>
          <w:gridAfter w:val="1"/>
          <w:wAfter w:w="626" w:type="dxa"/>
          <w:trHeight w:val="509"/>
        </w:trPr>
        <w:tc>
          <w:tcPr>
            <w:tcW w:w="1027" w:type="dxa"/>
            <w:vMerge w:val="restart"/>
            <w:tcBorders>
              <w:top w:val="double" w:sz="6" w:space="0" w:color="969696"/>
              <w:left w:val="double" w:sz="6" w:space="0" w:color="969696"/>
              <w:bottom w:val="double" w:sz="6" w:space="0" w:color="969696"/>
              <w:right w:val="double" w:sz="6" w:space="0" w:color="969696"/>
            </w:tcBorders>
            <w:noWrap/>
            <w:vAlign w:val="center"/>
            <w:hideMark/>
          </w:tcPr>
          <w:p w14:paraId="3B161FD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Član Društva</w:t>
            </w:r>
          </w:p>
        </w:tc>
        <w:tc>
          <w:tcPr>
            <w:tcW w:w="2007" w:type="dxa"/>
            <w:gridSpan w:val="2"/>
            <w:vMerge w:val="restart"/>
            <w:tcBorders>
              <w:top w:val="double" w:sz="6" w:space="0" w:color="969696"/>
              <w:left w:val="double" w:sz="6" w:space="0" w:color="969696"/>
              <w:bottom w:val="single" w:sz="4" w:space="0" w:color="969696"/>
              <w:right w:val="double" w:sz="6" w:space="0" w:color="969696"/>
            </w:tcBorders>
            <w:vAlign w:val="center"/>
            <w:hideMark/>
          </w:tcPr>
          <w:p w14:paraId="5AD0462F"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UPISANI                     TEMELJNI KAPITAL 23.12.2013.</w:t>
            </w:r>
          </w:p>
        </w:tc>
        <w:tc>
          <w:tcPr>
            <w:tcW w:w="1018" w:type="dxa"/>
            <w:vMerge w:val="restart"/>
            <w:tcBorders>
              <w:top w:val="double" w:sz="6" w:space="0" w:color="969696"/>
              <w:left w:val="double" w:sz="6" w:space="0" w:color="969696"/>
              <w:bottom w:val="double" w:sz="6" w:space="0" w:color="969696"/>
              <w:right w:val="nil"/>
            </w:tcBorders>
            <w:vAlign w:val="center"/>
            <w:hideMark/>
          </w:tcPr>
          <w:p w14:paraId="0321531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prijenos poslovnog udjela</w:t>
            </w:r>
          </w:p>
        </w:tc>
        <w:tc>
          <w:tcPr>
            <w:tcW w:w="1116" w:type="dxa"/>
            <w:vMerge w:val="restart"/>
            <w:tcBorders>
              <w:top w:val="double" w:sz="6" w:space="0" w:color="969696"/>
              <w:left w:val="double" w:sz="6" w:space="0" w:color="969696"/>
              <w:bottom w:val="double" w:sz="6" w:space="0" w:color="969696"/>
              <w:right w:val="double" w:sz="6" w:space="0" w:color="969696"/>
            </w:tcBorders>
            <w:vAlign w:val="center"/>
            <w:hideMark/>
          </w:tcPr>
          <w:p w14:paraId="307C6C6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novi udjeli nakon prijenosa poslovnog udjela</w:t>
            </w:r>
          </w:p>
        </w:tc>
        <w:tc>
          <w:tcPr>
            <w:tcW w:w="1026" w:type="dxa"/>
            <w:vMerge w:val="restart"/>
            <w:tcBorders>
              <w:top w:val="double" w:sz="6" w:space="0" w:color="969696"/>
              <w:left w:val="double" w:sz="6" w:space="0" w:color="969696"/>
              <w:bottom w:val="double" w:sz="6" w:space="0" w:color="969696"/>
              <w:right w:val="double" w:sz="6" w:space="0" w:color="969696"/>
            </w:tcBorders>
            <w:vAlign w:val="center"/>
            <w:hideMark/>
          </w:tcPr>
          <w:p w14:paraId="30583C63"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unos prava</w:t>
            </w:r>
          </w:p>
        </w:tc>
        <w:tc>
          <w:tcPr>
            <w:tcW w:w="2031" w:type="dxa"/>
            <w:gridSpan w:val="2"/>
            <w:vMerge w:val="restart"/>
            <w:tcBorders>
              <w:top w:val="double" w:sz="6" w:space="0" w:color="969696"/>
              <w:left w:val="double" w:sz="6" w:space="0" w:color="969696"/>
              <w:bottom w:val="single" w:sz="4" w:space="0" w:color="969696"/>
              <w:right w:val="double" w:sz="6" w:space="0" w:color="969696"/>
            </w:tcBorders>
            <w:vAlign w:val="center"/>
            <w:hideMark/>
          </w:tcPr>
          <w:p w14:paraId="44116194"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UPISANI TEMELJNI KAPITAL 17.02.2021.</w:t>
            </w:r>
          </w:p>
        </w:tc>
        <w:tc>
          <w:tcPr>
            <w:tcW w:w="883" w:type="dxa"/>
            <w:vMerge w:val="restart"/>
            <w:tcBorders>
              <w:top w:val="double" w:sz="6" w:space="0" w:color="969696"/>
              <w:left w:val="double" w:sz="6" w:space="0" w:color="969696"/>
              <w:bottom w:val="double" w:sz="6" w:space="0" w:color="969696"/>
              <w:right w:val="double" w:sz="6" w:space="0" w:color="969696"/>
            </w:tcBorders>
            <w:noWrap/>
            <w:vAlign w:val="center"/>
            <w:hideMark/>
          </w:tcPr>
          <w:p w14:paraId="69D94CC5" w14:textId="77777777" w:rsidR="000B6D3B" w:rsidRDefault="000B6D3B">
            <w:pPr>
              <w:spacing w:after="0" w:line="240" w:lineRule="auto"/>
              <w:jc w:val="center"/>
              <w:rPr>
                <w:rFonts w:ascii="Calibri" w:eastAsia="Times New Roman" w:hAnsi="Calibri" w:cs="Calibri"/>
                <w:b/>
                <w:bCs/>
                <w:sz w:val="16"/>
                <w:szCs w:val="16"/>
                <w:lang w:eastAsia="hr-HR"/>
              </w:rPr>
            </w:pPr>
            <w:r>
              <w:rPr>
                <w:rFonts w:ascii="Calibri" w:eastAsia="Times New Roman" w:hAnsi="Calibri" w:cs="Calibri"/>
                <w:b/>
                <w:bCs/>
                <w:sz w:val="16"/>
                <w:szCs w:val="16"/>
                <w:lang w:eastAsia="hr-HR"/>
              </w:rPr>
              <w:t>promjena</w:t>
            </w:r>
          </w:p>
        </w:tc>
      </w:tr>
      <w:tr w:rsidR="000B6D3B" w14:paraId="3CC47515" w14:textId="77777777" w:rsidTr="000B6D3B">
        <w:trPr>
          <w:trHeight w:val="27"/>
        </w:trPr>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03B1EFA9" w14:textId="77777777" w:rsidR="000B6D3B" w:rsidRDefault="000B6D3B">
            <w:pPr>
              <w:spacing w:after="0"/>
              <w:rPr>
                <w:rFonts w:ascii="Calibri" w:eastAsia="Times New Roman" w:hAnsi="Calibri" w:cs="Calibri"/>
                <w:b/>
                <w:bCs/>
                <w:sz w:val="18"/>
                <w:szCs w:val="18"/>
                <w:lang w:eastAsia="hr-HR"/>
              </w:rPr>
            </w:pPr>
          </w:p>
        </w:tc>
        <w:tc>
          <w:tcPr>
            <w:tcW w:w="0" w:type="auto"/>
            <w:gridSpan w:val="2"/>
            <w:vMerge/>
            <w:tcBorders>
              <w:top w:val="double" w:sz="6" w:space="0" w:color="969696"/>
              <w:left w:val="double" w:sz="6" w:space="0" w:color="969696"/>
              <w:bottom w:val="single" w:sz="4" w:space="0" w:color="969696"/>
              <w:right w:val="double" w:sz="6" w:space="0" w:color="969696"/>
            </w:tcBorders>
            <w:vAlign w:val="center"/>
            <w:hideMark/>
          </w:tcPr>
          <w:p w14:paraId="5C43D0BA"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nil"/>
            </w:tcBorders>
            <w:vAlign w:val="center"/>
            <w:hideMark/>
          </w:tcPr>
          <w:p w14:paraId="30AB6176"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39C6C94E"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1A257C39" w14:textId="77777777" w:rsidR="000B6D3B" w:rsidRDefault="000B6D3B">
            <w:pPr>
              <w:spacing w:after="0"/>
              <w:rPr>
                <w:rFonts w:ascii="Calibri" w:eastAsia="Times New Roman" w:hAnsi="Calibri" w:cs="Calibri"/>
                <w:b/>
                <w:bCs/>
                <w:sz w:val="18"/>
                <w:szCs w:val="18"/>
                <w:lang w:eastAsia="hr-HR"/>
              </w:rPr>
            </w:pPr>
          </w:p>
        </w:tc>
        <w:tc>
          <w:tcPr>
            <w:tcW w:w="0" w:type="auto"/>
            <w:gridSpan w:val="2"/>
            <w:vMerge/>
            <w:tcBorders>
              <w:top w:val="double" w:sz="6" w:space="0" w:color="969696"/>
              <w:left w:val="double" w:sz="6" w:space="0" w:color="969696"/>
              <w:bottom w:val="single" w:sz="4" w:space="0" w:color="969696"/>
              <w:right w:val="double" w:sz="6" w:space="0" w:color="969696"/>
            </w:tcBorders>
            <w:vAlign w:val="center"/>
            <w:hideMark/>
          </w:tcPr>
          <w:p w14:paraId="2B1B43BE"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500289DE" w14:textId="77777777" w:rsidR="000B6D3B" w:rsidRDefault="000B6D3B">
            <w:pPr>
              <w:spacing w:after="0"/>
              <w:rPr>
                <w:rFonts w:ascii="Calibri" w:eastAsia="Times New Roman" w:hAnsi="Calibri" w:cs="Calibri"/>
                <w:b/>
                <w:bCs/>
                <w:sz w:val="16"/>
                <w:szCs w:val="16"/>
                <w:lang w:eastAsia="hr-HR"/>
              </w:rPr>
            </w:pPr>
          </w:p>
        </w:tc>
        <w:tc>
          <w:tcPr>
            <w:tcW w:w="626" w:type="dxa"/>
            <w:noWrap/>
            <w:vAlign w:val="bottom"/>
            <w:hideMark/>
          </w:tcPr>
          <w:p w14:paraId="0C6FEC2F" w14:textId="77777777" w:rsidR="000B6D3B" w:rsidRDefault="000B6D3B"/>
        </w:tc>
      </w:tr>
      <w:tr w:rsidR="000B6D3B" w14:paraId="5AB89459" w14:textId="77777777" w:rsidTr="000B6D3B">
        <w:trPr>
          <w:trHeight w:val="376"/>
        </w:trPr>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57CC6E56" w14:textId="77777777" w:rsidR="000B6D3B" w:rsidRDefault="000B6D3B">
            <w:pPr>
              <w:spacing w:after="0"/>
              <w:rPr>
                <w:rFonts w:ascii="Calibri" w:eastAsia="Times New Roman" w:hAnsi="Calibri" w:cs="Calibri"/>
                <w:b/>
                <w:bCs/>
                <w:sz w:val="18"/>
                <w:szCs w:val="18"/>
                <w:lang w:eastAsia="hr-HR"/>
              </w:rPr>
            </w:pPr>
          </w:p>
        </w:tc>
        <w:tc>
          <w:tcPr>
            <w:tcW w:w="891" w:type="dxa"/>
            <w:tcBorders>
              <w:top w:val="nil"/>
              <w:left w:val="nil"/>
              <w:bottom w:val="nil"/>
              <w:right w:val="single" w:sz="4" w:space="0" w:color="969696"/>
            </w:tcBorders>
            <w:noWrap/>
            <w:vAlign w:val="center"/>
            <w:hideMark/>
          </w:tcPr>
          <w:p w14:paraId="58B1AC90"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udio</w:t>
            </w:r>
          </w:p>
        </w:tc>
        <w:tc>
          <w:tcPr>
            <w:tcW w:w="1116" w:type="dxa"/>
            <w:tcBorders>
              <w:top w:val="nil"/>
              <w:left w:val="nil"/>
              <w:bottom w:val="nil"/>
              <w:right w:val="double" w:sz="6" w:space="0" w:color="969696"/>
            </w:tcBorders>
            <w:noWrap/>
            <w:vAlign w:val="center"/>
            <w:hideMark/>
          </w:tcPr>
          <w:p w14:paraId="3335E98E"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iznos</w:t>
            </w:r>
          </w:p>
        </w:tc>
        <w:tc>
          <w:tcPr>
            <w:tcW w:w="0" w:type="auto"/>
            <w:vMerge/>
            <w:tcBorders>
              <w:top w:val="double" w:sz="6" w:space="0" w:color="969696"/>
              <w:left w:val="double" w:sz="6" w:space="0" w:color="969696"/>
              <w:bottom w:val="double" w:sz="6" w:space="0" w:color="969696"/>
              <w:right w:val="nil"/>
            </w:tcBorders>
            <w:vAlign w:val="center"/>
            <w:hideMark/>
          </w:tcPr>
          <w:p w14:paraId="364DACE0"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5CEDE15E" w14:textId="77777777" w:rsidR="000B6D3B" w:rsidRDefault="000B6D3B">
            <w:pPr>
              <w:spacing w:after="0"/>
              <w:rPr>
                <w:rFonts w:ascii="Calibri" w:eastAsia="Times New Roman" w:hAnsi="Calibri" w:cs="Calibri"/>
                <w:b/>
                <w:bCs/>
                <w:sz w:val="18"/>
                <w:szCs w:val="18"/>
                <w:lang w:eastAsia="hr-HR"/>
              </w:rPr>
            </w:pP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2CEBC4BE" w14:textId="77777777" w:rsidR="000B6D3B" w:rsidRDefault="000B6D3B">
            <w:pPr>
              <w:spacing w:after="0"/>
              <w:rPr>
                <w:rFonts w:ascii="Calibri" w:eastAsia="Times New Roman" w:hAnsi="Calibri" w:cs="Calibri"/>
                <w:b/>
                <w:bCs/>
                <w:sz w:val="18"/>
                <w:szCs w:val="18"/>
                <w:lang w:eastAsia="hr-HR"/>
              </w:rPr>
            </w:pPr>
          </w:p>
        </w:tc>
        <w:tc>
          <w:tcPr>
            <w:tcW w:w="1116" w:type="dxa"/>
            <w:tcBorders>
              <w:top w:val="nil"/>
              <w:left w:val="nil"/>
              <w:bottom w:val="nil"/>
              <w:right w:val="single" w:sz="4" w:space="0" w:color="969696"/>
            </w:tcBorders>
            <w:vAlign w:val="center"/>
            <w:hideMark/>
          </w:tcPr>
          <w:p w14:paraId="6BE76E95"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novi udjeli u kapitalu</w:t>
            </w:r>
          </w:p>
        </w:tc>
        <w:tc>
          <w:tcPr>
            <w:tcW w:w="915" w:type="dxa"/>
            <w:tcBorders>
              <w:top w:val="nil"/>
              <w:left w:val="nil"/>
              <w:bottom w:val="nil"/>
              <w:right w:val="double" w:sz="6" w:space="0" w:color="969696"/>
            </w:tcBorders>
            <w:noWrap/>
            <w:vAlign w:val="center"/>
            <w:hideMark/>
          </w:tcPr>
          <w:p w14:paraId="288A47D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udio</w:t>
            </w:r>
          </w:p>
        </w:tc>
        <w:tc>
          <w:tcPr>
            <w:tcW w:w="0" w:type="auto"/>
            <w:vMerge/>
            <w:tcBorders>
              <w:top w:val="double" w:sz="6" w:space="0" w:color="969696"/>
              <w:left w:val="double" w:sz="6" w:space="0" w:color="969696"/>
              <w:bottom w:val="double" w:sz="6" w:space="0" w:color="969696"/>
              <w:right w:val="double" w:sz="6" w:space="0" w:color="969696"/>
            </w:tcBorders>
            <w:vAlign w:val="center"/>
            <w:hideMark/>
          </w:tcPr>
          <w:p w14:paraId="5BF394F8" w14:textId="77777777" w:rsidR="000B6D3B" w:rsidRDefault="000B6D3B">
            <w:pPr>
              <w:spacing w:after="0"/>
              <w:rPr>
                <w:rFonts w:ascii="Calibri" w:eastAsia="Times New Roman" w:hAnsi="Calibri" w:cs="Calibri"/>
                <w:b/>
                <w:bCs/>
                <w:sz w:val="16"/>
                <w:szCs w:val="16"/>
                <w:lang w:eastAsia="hr-HR"/>
              </w:rPr>
            </w:pPr>
          </w:p>
        </w:tc>
        <w:tc>
          <w:tcPr>
            <w:tcW w:w="626" w:type="dxa"/>
            <w:vAlign w:val="center"/>
            <w:hideMark/>
          </w:tcPr>
          <w:p w14:paraId="2AA6C3F7" w14:textId="77777777" w:rsidR="000B6D3B" w:rsidRDefault="000B6D3B">
            <w:pPr>
              <w:rPr>
                <w:rFonts w:ascii="Calibri" w:eastAsia="Times New Roman" w:hAnsi="Calibri" w:cs="Calibri"/>
                <w:b/>
                <w:bCs/>
                <w:sz w:val="18"/>
                <w:szCs w:val="18"/>
                <w:lang w:eastAsia="hr-HR"/>
              </w:rPr>
            </w:pPr>
          </w:p>
        </w:tc>
      </w:tr>
      <w:tr w:rsidR="000B6D3B" w14:paraId="6467B4BB" w14:textId="77777777" w:rsidTr="000B6D3B">
        <w:trPr>
          <w:trHeight w:val="286"/>
        </w:trPr>
        <w:tc>
          <w:tcPr>
            <w:tcW w:w="1027" w:type="dxa"/>
            <w:tcBorders>
              <w:top w:val="nil"/>
              <w:left w:val="double" w:sz="6" w:space="0" w:color="969696"/>
              <w:bottom w:val="double" w:sz="6" w:space="0" w:color="969696"/>
              <w:right w:val="nil"/>
            </w:tcBorders>
            <w:noWrap/>
            <w:vAlign w:val="center"/>
            <w:hideMark/>
          </w:tcPr>
          <w:p w14:paraId="76200E51"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p>
        </w:tc>
        <w:tc>
          <w:tcPr>
            <w:tcW w:w="891" w:type="dxa"/>
            <w:tcBorders>
              <w:top w:val="double" w:sz="6" w:space="0" w:color="969696"/>
              <w:left w:val="double" w:sz="6" w:space="0" w:color="969696"/>
              <w:bottom w:val="double" w:sz="6" w:space="0" w:color="969696"/>
              <w:right w:val="single" w:sz="4" w:space="0" w:color="969696"/>
            </w:tcBorders>
            <w:noWrap/>
            <w:vAlign w:val="center"/>
            <w:hideMark/>
          </w:tcPr>
          <w:p w14:paraId="46D24085"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1</w:t>
            </w:r>
          </w:p>
        </w:tc>
        <w:tc>
          <w:tcPr>
            <w:tcW w:w="1116" w:type="dxa"/>
            <w:tcBorders>
              <w:top w:val="double" w:sz="6" w:space="0" w:color="969696"/>
              <w:left w:val="nil"/>
              <w:bottom w:val="double" w:sz="6" w:space="0" w:color="969696"/>
              <w:right w:val="double" w:sz="6" w:space="0" w:color="969696"/>
            </w:tcBorders>
            <w:noWrap/>
            <w:vAlign w:val="center"/>
            <w:hideMark/>
          </w:tcPr>
          <w:p w14:paraId="0B021B57"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2</w:t>
            </w:r>
          </w:p>
        </w:tc>
        <w:tc>
          <w:tcPr>
            <w:tcW w:w="1018" w:type="dxa"/>
            <w:tcBorders>
              <w:top w:val="nil"/>
              <w:left w:val="nil"/>
              <w:bottom w:val="double" w:sz="6" w:space="0" w:color="969696"/>
              <w:right w:val="nil"/>
            </w:tcBorders>
            <w:noWrap/>
            <w:vAlign w:val="center"/>
            <w:hideMark/>
          </w:tcPr>
          <w:p w14:paraId="6ADF9718"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3</w:t>
            </w:r>
          </w:p>
        </w:tc>
        <w:tc>
          <w:tcPr>
            <w:tcW w:w="1116" w:type="dxa"/>
            <w:tcBorders>
              <w:top w:val="nil"/>
              <w:left w:val="double" w:sz="6" w:space="0" w:color="969696"/>
              <w:bottom w:val="double" w:sz="6" w:space="0" w:color="969696"/>
              <w:right w:val="nil"/>
            </w:tcBorders>
            <w:noWrap/>
            <w:vAlign w:val="center"/>
            <w:hideMark/>
          </w:tcPr>
          <w:p w14:paraId="1EB4604B"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4=2+3</w:t>
            </w:r>
          </w:p>
        </w:tc>
        <w:tc>
          <w:tcPr>
            <w:tcW w:w="1026" w:type="dxa"/>
            <w:tcBorders>
              <w:top w:val="nil"/>
              <w:left w:val="double" w:sz="6" w:space="0" w:color="969696"/>
              <w:bottom w:val="double" w:sz="6" w:space="0" w:color="969696"/>
              <w:right w:val="double" w:sz="6" w:space="0" w:color="969696"/>
            </w:tcBorders>
            <w:noWrap/>
            <w:vAlign w:val="center"/>
            <w:hideMark/>
          </w:tcPr>
          <w:p w14:paraId="08DED85E"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5</w:t>
            </w:r>
          </w:p>
        </w:tc>
        <w:tc>
          <w:tcPr>
            <w:tcW w:w="1116" w:type="dxa"/>
            <w:tcBorders>
              <w:top w:val="double" w:sz="6" w:space="0" w:color="969696"/>
              <w:left w:val="nil"/>
              <w:bottom w:val="double" w:sz="6" w:space="0" w:color="969696"/>
              <w:right w:val="single" w:sz="4" w:space="0" w:color="969696"/>
            </w:tcBorders>
            <w:noWrap/>
            <w:vAlign w:val="center"/>
            <w:hideMark/>
          </w:tcPr>
          <w:p w14:paraId="681F4DAF"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6=4+5</w:t>
            </w:r>
          </w:p>
        </w:tc>
        <w:tc>
          <w:tcPr>
            <w:tcW w:w="915" w:type="dxa"/>
            <w:tcBorders>
              <w:top w:val="double" w:sz="6" w:space="0" w:color="969696"/>
              <w:left w:val="nil"/>
              <w:bottom w:val="double" w:sz="6" w:space="0" w:color="969696"/>
              <w:right w:val="double" w:sz="6" w:space="0" w:color="969696"/>
            </w:tcBorders>
            <w:noWrap/>
            <w:vAlign w:val="center"/>
            <w:hideMark/>
          </w:tcPr>
          <w:p w14:paraId="13F433FA"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7</w:t>
            </w:r>
          </w:p>
        </w:tc>
        <w:tc>
          <w:tcPr>
            <w:tcW w:w="883" w:type="dxa"/>
            <w:tcBorders>
              <w:top w:val="nil"/>
              <w:left w:val="nil"/>
              <w:bottom w:val="double" w:sz="6" w:space="0" w:color="969696"/>
              <w:right w:val="double" w:sz="6" w:space="0" w:color="969696"/>
            </w:tcBorders>
            <w:noWrap/>
            <w:vAlign w:val="center"/>
            <w:hideMark/>
          </w:tcPr>
          <w:p w14:paraId="1A7ACBE6" w14:textId="77777777" w:rsidR="000B6D3B" w:rsidRDefault="000B6D3B">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8</w:t>
            </w:r>
          </w:p>
        </w:tc>
        <w:tc>
          <w:tcPr>
            <w:tcW w:w="626" w:type="dxa"/>
            <w:vAlign w:val="center"/>
            <w:hideMark/>
          </w:tcPr>
          <w:p w14:paraId="73ECF45E" w14:textId="77777777" w:rsidR="000B6D3B" w:rsidRDefault="000B6D3B">
            <w:pPr>
              <w:rPr>
                <w:rFonts w:ascii="Calibri" w:eastAsia="Times New Roman" w:hAnsi="Calibri" w:cs="Calibri"/>
                <w:sz w:val="18"/>
                <w:szCs w:val="18"/>
                <w:lang w:eastAsia="hr-HR"/>
              </w:rPr>
            </w:pPr>
          </w:p>
        </w:tc>
      </w:tr>
      <w:tr w:rsidR="000B6D3B" w14:paraId="240C0929" w14:textId="77777777" w:rsidTr="000B6D3B">
        <w:trPr>
          <w:trHeight w:val="440"/>
        </w:trPr>
        <w:tc>
          <w:tcPr>
            <w:tcW w:w="1027" w:type="dxa"/>
            <w:tcBorders>
              <w:top w:val="nil"/>
              <w:left w:val="double" w:sz="6" w:space="0" w:color="969696"/>
              <w:bottom w:val="dotted" w:sz="4" w:space="0" w:color="969696"/>
              <w:right w:val="nil"/>
            </w:tcBorders>
            <w:noWrap/>
            <w:vAlign w:val="center"/>
            <w:hideMark/>
          </w:tcPr>
          <w:p w14:paraId="798D4A10"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Omišalj</w:t>
            </w:r>
          </w:p>
        </w:tc>
        <w:tc>
          <w:tcPr>
            <w:tcW w:w="891" w:type="dxa"/>
            <w:tcBorders>
              <w:top w:val="nil"/>
              <w:left w:val="double" w:sz="6" w:space="0" w:color="969696"/>
              <w:bottom w:val="dotted" w:sz="4" w:space="0" w:color="969696"/>
              <w:right w:val="single" w:sz="4" w:space="0" w:color="969696"/>
            </w:tcBorders>
            <w:noWrap/>
            <w:vAlign w:val="center"/>
            <w:hideMark/>
          </w:tcPr>
          <w:p w14:paraId="3C5F49BD"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16,09%</w:t>
            </w:r>
          </w:p>
        </w:tc>
        <w:tc>
          <w:tcPr>
            <w:tcW w:w="1116" w:type="dxa"/>
            <w:tcBorders>
              <w:top w:val="nil"/>
              <w:left w:val="nil"/>
              <w:bottom w:val="dotted" w:sz="4" w:space="0" w:color="969696"/>
              <w:right w:val="double" w:sz="6" w:space="0" w:color="969696"/>
            </w:tcBorders>
            <w:noWrap/>
            <w:vAlign w:val="center"/>
            <w:hideMark/>
          </w:tcPr>
          <w:p w14:paraId="2E9CB04D"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51.865.900</w:t>
            </w:r>
          </w:p>
        </w:tc>
        <w:tc>
          <w:tcPr>
            <w:tcW w:w="1018" w:type="dxa"/>
            <w:tcBorders>
              <w:top w:val="nil"/>
              <w:left w:val="nil"/>
              <w:bottom w:val="dotted" w:sz="4" w:space="0" w:color="969696"/>
              <w:right w:val="nil"/>
            </w:tcBorders>
            <w:noWrap/>
            <w:vAlign w:val="center"/>
            <w:hideMark/>
          </w:tcPr>
          <w:p w14:paraId="4C244F3E"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1116" w:type="dxa"/>
            <w:tcBorders>
              <w:top w:val="nil"/>
              <w:left w:val="double" w:sz="6" w:space="0" w:color="969696"/>
              <w:bottom w:val="dotted" w:sz="4" w:space="0" w:color="969696"/>
              <w:right w:val="nil"/>
            </w:tcBorders>
            <w:noWrap/>
            <w:vAlign w:val="center"/>
            <w:hideMark/>
          </w:tcPr>
          <w:p w14:paraId="2800CC20"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51.865.900</w:t>
            </w:r>
          </w:p>
        </w:tc>
        <w:tc>
          <w:tcPr>
            <w:tcW w:w="1026" w:type="dxa"/>
            <w:tcBorders>
              <w:top w:val="nil"/>
              <w:left w:val="double" w:sz="6" w:space="0" w:color="969696"/>
              <w:bottom w:val="dotted" w:sz="4" w:space="0" w:color="969696"/>
              <w:right w:val="double" w:sz="6" w:space="0" w:color="969696"/>
            </w:tcBorders>
            <w:noWrap/>
            <w:vAlign w:val="center"/>
            <w:hideMark/>
          </w:tcPr>
          <w:p w14:paraId="41A3AFDB"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3.332.100</w:t>
            </w:r>
          </w:p>
        </w:tc>
        <w:tc>
          <w:tcPr>
            <w:tcW w:w="1116" w:type="dxa"/>
            <w:tcBorders>
              <w:top w:val="nil"/>
              <w:left w:val="nil"/>
              <w:bottom w:val="dotted" w:sz="4" w:space="0" w:color="969696"/>
              <w:right w:val="single" w:sz="4" w:space="0" w:color="969696"/>
            </w:tcBorders>
            <w:noWrap/>
            <w:vAlign w:val="center"/>
            <w:hideMark/>
          </w:tcPr>
          <w:p w14:paraId="3F9E424B"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55.198.000</w:t>
            </w:r>
          </w:p>
        </w:tc>
        <w:tc>
          <w:tcPr>
            <w:tcW w:w="915" w:type="dxa"/>
            <w:tcBorders>
              <w:top w:val="nil"/>
              <w:left w:val="nil"/>
              <w:bottom w:val="dotted" w:sz="4" w:space="0" w:color="969696"/>
              <w:right w:val="double" w:sz="6" w:space="0" w:color="969696"/>
            </w:tcBorders>
            <w:noWrap/>
            <w:vAlign w:val="center"/>
            <w:hideMark/>
          </w:tcPr>
          <w:p w14:paraId="35621A0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14,59%</w:t>
            </w:r>
          </w:p>
        </w:tc>
        <w:tc>
          <w:tcPr>
            <w:tcW w:w="883" w:type="dxa"/>
            <w:tcBorders>
              <w:top w:val="nil"/>
              <w:left w:val="nil"/>
              <w:bottom w:val="dotted" w:sz="4" w:space="0" w:color="969696"/>
              <w:right w:val="double" w:sz="6" w:space="0" w:color="969696"/>
            </w:tcBorders>
            <w:noWrap/>
            <w:vAlign w:val="center"/>
            <w:hideMark/>
          </w:tcPr>
          <w:p w14:paraId="0F8C5B4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-1,50%</w:t>
            </w:r>
          </w:p>
        </w:tc>
        <w:tc>
          <w:tcPr>
            <w:tcW w:w="626" w:type="dxa"/>
            <w:vAlign w:val="center"/>
            <w:hideMark/>
          </w:tcPr>
          <w:p w14:paraId="16966E24" w14:textId="77777777" w:rsidR="000B6D3B" w:rsidRDefault="000B6D3B">
            <w:pPr>
              <w:rPr>
                <w:rFonts w:ascii="Calibri" w:eastAsia="Times New Roman" w:hAnsi="Calibri" w:cs="Calibri"/>
                <w:b/>
                <w:bCs/>
                <w:sz w:val="18"/>
                <w:szCs w:val="18"/>
                <w:lang w:eastAsia="hr-HR"/>
              </w:rPr>
            </w:pPr>
          </w:p>
        </w:tc>
      </w:tr>
      <w:tr w:rsidR="000B6D3B" w14:paraId="3CD94BA1" w14:textId="77777777" w:rsidTr="000B6D3B">
        <w:trPr>
          <w:trHeight w:val="617"/>
        </w:trPr>
        <w:tc>
          <w:tcPr>
            <w:tcW w:w="1027" w:type="dxa"/>
            <w:tcBorders>
              <w:top w:val="nil"/>
              <w:left w:val="double" w:sz="6" w:space="0" w:color="969696"/>
              <w:bottom w:val="dotted" w:sz="4" w:space="0" w:color="969696"/>
              <w:right w:val="nil"/>
            </w:tcBorders>
            <w:vAlign w:val="center"/>
            <w:hideMark/>
          </w:tcPr>
          <w:p w14:paraId="7CC83891"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Malinska-Dubašnica</w:t>
            </w:r>
          </w:p>
        </w:tc>
        <w:tc>
          <w:tcPr>
            <w:tcW w:w="891" w:type="dxa"/>
            <w:tcBorders>
              <w:top w:val="nil"/>
              <w:left w:val="double" w:sz="6" w:space="0" w:color="969696"/>
              <w:bottom w:val="dotted" w:sz="4" w:space="0" w:color="969696"/>
              <w:right w:val="single" w:sz="4" w:space="0" w:color="969696"/>
            </w:tcBorders>
            <w:noWrap/>
            <w:vAlign w:val="center"/>
            <w:hideMark/>
          </w:tcPr>
          <w:p w14:paraId="282F083D"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17,81%</w:t>
            </w:r>
          </w:p>
        </w:tc>
        <w:tc>
          <w:tcPr>
            <w:tcW w:w="1116" w:type="dxa"/>
            <w:tcBorders>
              <w:top w:val="nil"/>
              <w:left w:val="nil"/>
              <w:bottom w:val="dotted" w:sz="4" w:space="0" w:color="969696"/>
              <w:right w:val="double" w:sz="6" w:space="0" w:color="969696"/>
            </w:tcBorders>
            <w:noWrap/>
            <w:vAlign w:val="center"/>
            <w:hideMark/>
          </w:tcPr>
          <w:p w14:paraId="2F5BE5D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57.424.000</w:t>
            </w:r>
          </w:p>
        </w:tc>
        <w:tc>
          <w:tcPr>
            <w:tcW w:w="1018" w:type="dxa"/>
            <w:tcBorders>
              <w:top w:val="nil"/>
              <w:left w:val="nil"/>
              <w:bottom w:val="dotted" w:sz="4" w:space="0" w:color="969696"/>
              <w:right w:val="nil"/>
            </w:tcBorders>
            <w:noWrap/>
            <w:vAlign w:val="center"/>
            <w:hideMark/>
          </w:tcPr>
          <w:p w14:paraId="738D9FED"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1116" w:type="dxa"/>
            <w:tcBorders>
              <w:top w:val="nil"/>
              <w:left w:val="double" w:sz="6" w:space="0" w:color="969696"/>
              <w:bottom w:val="dotted" w:sz="4" w:space="0" w:color="969696"/>
              <w:right w:val="nil"/>
            </w:tcBorders>
            <w:noWrap/>
            <w:vAlign w:val="center"/>
            <w:hideMark/>
          </w:tcPr>
          <w:p w14:paraId="1B3D4F18"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57.424.000</w:t>
            </w:r>
          </w:p>
        </w:tc>
        <w:tc>
          <w:tcPr>
            <w:tcW w:w="1026" w:type="dxa"/>
            <w:tcBorders>
              <w:top w:val="nil"/>
              <w:left w:val="double" w:sz="6" w:space="0" w:color="969696"/>
              <w:bottom w:val="dotted" w:sz="4" w:space="0" w:color="969696"/>
              <w:right w:val="double" w:sz="6" w:space="0" w:color="969696"/>
            </w:tcBorders>
            <w:noWrap/>
            <w:vAlign w:val="center"/>
            <w:hideMark/>
          </w:tcPr>
          <w:p w14:paraId="1A101946"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7.599.500</w:t>
            </w:r>
          </w:p>
        </w:tc>
        <w:tc>
          <w:tcPr>
            <w:tcW w:w="1116" w:type="dxa"/>
            <w:tcBorders>
              <w:top w:val="nil"/>
              <w:left w:val="nil"/>
              <w:bottom w:val="dotted" w:sz="4" w:space="0" w:color="969696"/>
              <w:right w:val="single" w:sz="4" w:space="0" w:color="969696"/>
            </w:tcBorders>
            <w:noWrap/>
            <w:vAlign w:val="center"/>
            <w:hideMark/>
          </w:tcPr>
          <w:p w14:paraId="76A645D4"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65.023.500</w:t>
            </w:r>
          </w:p>
        </w:tc>
        <w:tc>
          <w:tcPr>
            <w:tcW w:w="915" w:type="dxa"/>
            <w:tcBorders>
              <w:top w:val="nil"/>
              <w:left w:val="nil"/>
              <w:bottom w:val="dotted" w:sz="4" w:space="0" w:color="969696"/>
              <w:right w:val="double" w:sz="6" w:space="0" w:color="969696"/>
            </w:tcBorders>
            <w:noWrap/>
            <w:vAlign w:val="center"/>
            <w:hideMark/>
          </w:tcPr>
          <w:p w14:paraId="63D1C715"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17,18%</w:t>
            </w:r>
          </w:p>
        </w:tc>
        <w:tc>
          <w:tcPr>
            <w:tcW w:w="883" w:type="dxa"/>
            <w:tcBorders>
              <w:top w:val="nil"/>
              <w:left w:val="nil"/>
              <w:bottom w:val="dotted" w:sz="4" w:space="0" w:color="969696"/>
              <w:right w:val="double" w:sz="6" w:space="0" w:color="969696"/>
            </w:tcBorders>
            <w:noWrap/>
            <w:vAlign w:val="center"/>
            <w:hideMark/>
          </w:tcPr>
          <w:p w14:paraId="01CF4E38"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-0,63%</w:t>
            </w:r>
          </w:p>
        </w:tc>
        <w:tc>
          <w:tcPr>
            <w:tcW w:w="626" w:type="dxa"/>
            <w:vAlign w:val="center"/>
            <w:hideMark/>
          </w:tcPr>
          <w:p w14:paraId="08F868CE" w14:textId="77777777" w:rsidR="000B6D3B" w:rsidRDefault="000B6D3B">
            <w:pPr>
              <w:rPr>
                <w:rFonts w:ascii="Calibri" w:eastAsia="Times New Roman" w:hAnsi="Calibri" w:cs="Calibri"/>
                <w:b/>
                <w:bCs/>
                <w:sz w:val="18"/>
                <w:szCs w:val="18"/>
                <w:lang w:eastAsia="hr-HR"/>
              </w:rPr>
            </w:pPr>
          </w:p>
        </w:tc>
      </w:tr>
      <w:tr w:rsidR="000B6D3B" w14:paraId="692B73CF" w14:textId="77777777" w:rsidTr="000B6D3B">
        <w:trPr>
          <w:trHeight w:val="349"/>
        </w:trPr>
        <w:tc>
          <w:tcPr>
            <w:tcW w:w="1027" w:type="dxa"/>
            <w:tcBorders>
              <w:top w:val="nil"/>
              <w:left w:val="double" w:sz="6" w:space="0" w:color="969696"/>
              <w:bottom w:val="dotted" w:sz="4" w:space="0" w:color="969696"/>
              <w:right w:val="nil"/>
            </w:tcBorders>
            <w:noWrap/>
            <w:vAlign w:val="center"/>
            <w:hideMark/>
          </w:tcPr>
          <w:p w14:paraId="77373113"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Grad Krk</w:t>
            </w:r>
          </w:p>
        </w:tc>
        <w:tc>
          <w:tcPr>
            <w:tcW w:w="891" w:type="dxa"/>
            <w:tcBorders>
              <w:top w:val="nil"/>
              <w:left w:val="double" w:sz="6" w:space="0" w:color="969696"/>
              <w:bottom w:val="dotted" w:sz="4" w:space="0" w:color="969696"/>
              <w:right w:val="single" w:sz="4" w:space="0" w:color="969696"/>
            </w:tcBorders>
            <w:noWrap/>
            <w:vAlign w:val="center"/>
            <w:hideMark/>
          </w:tcPr>
          <w:p w14:paraId="1B628F6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23,36%</w:t>
            </w:r>
          </w:p>
        </w:tc>
        <w:tc>
          <w:tcPr>
            <w:tcW w:w="1116" w:type="dxa"/>
            <w:tcBorders>
              <w:top w:val="nil"/>
              <w:left w:val="nil"/>
              <w:bottom w:val="dotted" w:sz="4" w:space="0" w:color="969696"/>
              <w:right w:val="double" w:sz="6" w:space="0" w:color="969696"/>
            </w:tcBorders>
            <w:noWrap/>
            <w:vAlign w:val="center"/>
            <w:hideMark/>
          </w:tcPr>
          <w:p w14:paraId="2F2432AB"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75.311.100</w:t>
            </w:r>
          </w:p>
        </w:tc>
        <w:tc>
          <w:tcPr>
            <w:tcW w:w="1018" w:type="dxa"/>
            <w:tcBorders>
              <w:top w:val="nil"/>
              <w:left w:val="nil"/>
              <w:bottom w:val="dotted" w:sz="4" w:space="0" w:color="969696"/>
              <w:right w:val="nil"/>
            </w:tcBorders>
            <w:noWrap/>
            <w:vAlign w:val="center"/>
            <w:hideMark/>
          </w:tcPr>
          <w:p w14:paraId="1AB89234"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740.800</w:t>
            </w:r>
          </w:p>
        </w:tc>
        <w:tc>
          <w:tcPr>
            <w:tcW w:w="1116" w:type="dxa"/>
            <w:tcBorders>
              <w:top w:val="nil"/>
              <w:left w:val="double" w:sz="6" w:space="0" w:color="969696"/>
              <w:bottom w:val="dotted" w:sz="4" w:space="0" w:color="969696"/>
              <w:right w:val="nil"/>
            </w:tcBorders>
            <w:noWrap/>
            <w:vAlign w:val="center"/>
            <w:hideMark/>
          </w:tcPr>
          <w:p w14:paraId="35CDA4B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76.051.900</w:t>
            </w:r>
          </w:p>
        </w:tc>
        <w:tc>
          <w:tcPr>
            <w:tcW w:w="1026" w:type="dxa"/>
            <w:tcBorders>
              <w:top w:val="nil"/>
              <w:left w:val="double" w:sz="6" w:space="0" w:color="969696"/>
              <w:bottom w:val="dotted" w:sz="4" w:space="0" w:color="969696"/>
              <w:right w:val="double" w:sz="6" w:space="0" w:color="969696"/>
            </w:tcBorders>
            <w:noWrap/>
            <w:vAlign w:val="center"/>
            <w:hideMark/>
          </w:tcPr>
          <w:p w14:paraId="2D33DEF0"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18.416.500</w:t>
            </w:r>
          </w:p>
        </w:tc>
        <w:tc>
          <w:tcPr>
            <w:tcW w:w="1116" w:type="dxa"/>
            <w:tcBorders>
              <w:top w:val="nil"/>
              <w:left w:val="nil"/>
              <w:bottom w:val="dotted" w:sz="4" w:space="0" w:color="969696"/>
              <w:right w:val="single" w:sz="4" w:space="0" w:color="969696"/>
            </w:tcBorders>
            <w:noWrap/>
            <w:vAlign w:val="center"/>
            <w:hideMark/>
          </w:tcPr>
          <w:p w14:paraId="39FC5F5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94.468.400</w:t>
            </w:r>
          </w:p>
        </w:tc>
        <w:tc>
          <w:tcPr>
            <w:tcW w:w="915" w:type="dxa"/>
            <w:tcBorders>
              <w:top w:val="nil"/>
              <w:left w:val="nil"/>
              <w:bottom w:val="dotted" w:sz="4" w:space="0" w:color="969696"/>
              <w:right w:val="double" w:sz="6" w:space="0" w:color="969696"/>
            </w:tcBorders>
            <w:noWrap/>
            <w:vAlign w:val="center"/>
            <w:hideMark/>
          </w:tcPr>
          <w:p w14:paraId="21E2C215"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24,96%</w:t>
            </w:r>
          </w:p>
        </w:tc>
        <w:tc>
          <w:tcPr>
            <w:tcW w:w="883" w:type="dxa"/>
            <w:tcBorders>
              <w:top w:val="nil"/>
              <w:left w:val="nil"/>
              <w:bottom w:val="dotted" w:sz="4" w:space="0" w:color="969696"/>
              <w:right w:val="double" w:sz="6" w:space="0" w:color="969696"/>
            </w:tcBorders>
            <w:noWrap/>
            <w:vAlign w:val="center"/>
            <w:hideMark/>
          </w:tcPr>
          <w:p w14:paraId="133C76E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1,60%</w:t>
            </w:r>
          </w:p>
        </w:tc>
        <w:tc>
          <w:tcPr>
            <w:tcW w:w="626" w:type="dxa"/>
            <w:vAlign w:val="center"/>
            <w:hideMark/>
          </w:tcPr>
          <w:p w14:paraId="11AB06AA" w14:textId="77777777" w:rsidR="000B6D3B" w:rsidRDefault="000B6D3B">
            <w:pPr>
              <w:rPr>
                <w:rFonts w:ascii="Calibri" w:eastAsia="Times New Roman" w:hAnsi="Calibri" w:cs="Calibri"/>
                <w:b/>
                <w:bCs/>
                <w:sz w:val="18"/>
                <w:szCs w:val="18"/>
                <w:lang w:eastAsia="hr-HR"/>
              </w:rPr>
            </w:pPr>
          </w:p>
        </w:tc>
      </w:tr>
      <w:tr w:rsidR="000B6D3B" w14:paraId="037FA765" w14:textId="77777777" w:rsidTr="000B6D3B">
        <w:trPr>
          <w:trHeight w:val="412"/>
        </w:trPr>
        <w:tc>
          <w:tcPr>
            <w:tcW w:w="1027" w:type="dxa"/>
            <w:tcBorders>
              <w:top w:val="nil"/>
              <w:left w:val="double" w:sz="6" w:space="0" w:color="969696"/>
              <w:bottom w:val="dotted" w:sz="4" w:space="0" w:color="969696"/>
              <w:right w:val="nil"/>
            </w:tcBorders>
            <w:noWrap/>
            <w:vAlign w:val="center"/>
            <w:hideMark/>
          </w:tcPr>
          <w:p w14:paraId="4306B40D"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Punat</w:t>
            </w:r>
          </w:p>
        </w:tc>
        <w:tc>
          <w:tcPr>
            <w:tcW w:w="891" w:type="dxa"/>
            <w:tcBorders>
              <w:top w:val="nil"/>
              <w:left w:val="double" w:sz="6" w:space="0" w:color="969696"/>
              <w:bottom w:val="dotted" w:sz="4" w:space="0" w:color="969696"/>
              <w:right w:val="single" w:sz="4" w:space="0" w:color="969696"/>
            </w:tcBorders>
            <w:noWrap/>
            <w:vAlign w:val="center"/>
            <w:hideMark/>
          </w:tcPr>
          <w:p w14:paraId="7336271E"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10,55%</w:t>
            </w:r>
          </w:p>
        </w:tc>
        <w:tc>
          <w:tcPr>
            <w:tcW w:w="1116" w:type="dxa"/>
            <w:tcBorders>
              <w:top w:val="nil"/>
              <w:left w:val="nil"/>
              <w:bottom w:val="dotted" w:sz="4" w:space="0" w:color="969696"/>
              <w:right w:val="double" w:sz="6" w:space="0" w:color="969696"/>
            </w:tcBorders>
            <w:noWrap/>
            <w:vAlign w:val="center"/>
            <w:hideMark/>
          </w:tcPr>
          <w:p w14:paraId="7F87A64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34.031.200</w:t>
            </w:r>
          </w:p>
        </w:tc>
        <w:tc>
          <w:tcPr>
            <w:tcW w:w="1018" w:type="dxa"/>
            <w:tcBorders>
              <w:top w:val="nil"/>
              <w:left w:val="nil"/>
              <w:bottom w:val="dotted" w:sz="4" w:space="0" w:color="969696"/>
              <w:right w:val="nil"/>
            </w:tcBorders>
            <w:noWrap/>
            <w:vAlign w:val="center"/>
            <w:hideMark/>
          </w:tcPr>
          <w:p w14:paraId="1202DFB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-740.800</w:t>
            </w:r>
          </w:p>
        </w:tc>
        <w:tc>
          <w:tcPr>
            <w:tcW w:w="1116" w:type="dxa"/>
            <w:tcBorders>
              <w:top w:val="nil"/>
              <w:left w:val="double" w:sz="6" w:space="0" w:color="969696"/>
              <w:bottom w:val="dotted" w:sz="4" w:space="0" w:color="969696"/>
              <w:right w:val="nil"/>
            </w:tcBorders>
            <w:noWrap/>
            <w:vAlign w:val="center"/>
            <w:hideMark/>
          </w:tcPr>
          <w:p w14:paraId="134D34F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33.290.400</w:t>
            </w:r>
          </w:p>
        </w:tc>
        <w:tc>
          <w:tcPr>
            <w:tcW w:w="1026" w:type="dxa"/>
            <w:tcBorders>
              <w:top w:val="nil"/>
              <w:left w:val="double" w:sz="6" w:space="0" w:color="969696"/>
              <w:bottom w:val="dotted" w:sz="4" w:space="0" w:color="969696"/>
              <w:right w:val="double" w:sz="6" w:space="0" w:color="969696"/>
            </w:tcBorders>
            <w:noWrap/>
            <w:vAlign w:val="center"/>
            <w:hideMark/>
          </w:tcPr>
          <w:p w14:paraId="13F4C3A4"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6.108.100</w:t>
            </w:r>
          </w:p>
        </w:tc>
        <w:tc>
          <w:tcPr>
            <w:tcW w:w="1116" w:type="dxa"/>
            <w:tcBorders>
              <w:top w:val="nil"/>
              <w:left w:val="nil"/>
              <w:bottom w:val="dotted" w:sz="4" w:space="0" w:color="969696"/>
              <w:right w:val="single" w:sz="4" w:space="0" w:color="969696"/>
            </w:tcBorders>
            <w:noWrap/>
            <w:vAlign w:val="center"/>
            <w:hideMark/>
          </w:tcPr>
          <w:p w14:paraId="300225FF"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39.398.500</w:t>
            </w:r>
          </w:p>
        </w:tc>
        <w:tc>
          <w:tcPr>
            <w:tcW w:w="915" w:type="dxa"/>
            <w:tcBorders>
              <w:top w:val="nil"/>
              <w:left w:val="nil"/>
              <w:bottom w:val="dotted" w:sz="4" w:space="0" w:color="969696"/>
              <w:right w:val="double" w:sz="6" w:space="0" w:color="969696"/>
            </w:tcBorders>
            <w:noWrap/>
            <w:vAlign w:val="center"/>
            <w:hideMark/>
          </w:tcPr>
          <w:p w14:paraId="5D78830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10,41%</w:t>
            </w:r>
          </w:p>
        </w:tc>
        <w:tc>
          <w:tcPr>
            <w:tcW w:w="883" w:type="dxa"/>
            <w:tcBorders>
              <w:top w:val="nil"/>
              <w:left w:val="nil"/>
              <w:bottom w:val="dotted" w:sz="4" w:space="0" w:color="969696"/>
              <w:right w:val="double" w:sz="6" w:space="0" w:color="969696"/>
            </w:tcBorders>
            <w:noWrap/>
            <w:vAlign w:val="center"/>
            <w:hideMark/>
          </w:tcPr>
          <w:p w14:paraId="73485446"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-0,14%</w:t>
            </w:r>
          </w:p>
        </w:tc>
        <w:tc>
          <w:tcPr>
            <w:tcW w:w="626" w:type="dxa"/>
            <w:vAlign w:val="center"/>
            <w:hideMark/>
          </w:tcPr>
          <w:p w14:paraId="38D5F75E" w14:textId="77777777" w:rsidR="000B6D3B" w:rsidRDefault="000B6D3B">
            <w:pPr>
              <w:rPr>
                <w:rFonts w:ascii="Calibri" w:eastAsia="Times New Roman" w:hAnsi="Calibri" w:cs="Calibri"/>
                <w:b/>
                <w:bCs/>
                <w:sz w:val="18"/>
                <w:szCs w:val="18"/>
                <w:lang w:eastAsia="hr-HR"/>
              </w:rPr>
            </w:pPr>
          </w:p>
        </w:tc>
      </w:tr>
      <w:tr w:rsidR="000B6D3B" w14:paraId="3694AB94" w14:textId="77777777" w:rsidTr="000B6D3B">
        <w:trPr>
          <w:trHeight w:val="468"/>
        </w:trPr>
        <w:tc>
          <w:tcPr>
            <w:tcW w:w="1027" w:type="dxa"/>
            <w:tcBorders>
              <w:top w:val="nil"/>
              <w:left w:val="double" w:sz="6" w:space="0" w:color="969696"/>
              <w:bottom w:val="dotted" w:sz="4" w:space="0" w:color="969696"/>
              <w:right w:val="nil"/>
            </w:tcBorders>
            <w:noWrap/>
            <w:vAlign w:val="center"/>
            <w:hideMark/>
          </w:tcPr>
          <w:p w14:paraId="534583CA"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Baška</w:t>
            </w:r>
          </w:p>
        </w:tc>
        <w:tc>
          <w:tcPr>
            <w:tcW w:w="891" w:type="dxa"/>
            <w:tcBorders>
              <w:top w:val="nil"/>
              <w:left w:val="double" w:sz="6" w:space="0" w:color="969696"/>
              <w:bottom w:val="dotted" w:sz="4" w:space="0" w:color="969696"/>
              <w:right w:val="single" w:sz="4" w:space="0" w:color="969696"/>
            </w:tcBorders>
            <w:noWrap/>
            <w:vAlign w:val="center"/>
            <w:hideMark/>
          </w:tcPr>
          <w:p w14:paraId="2CDDBBC5"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13,93%</w:t>
            </w:r>
          </w:p>
        </w:tc>
        <w:tc>
          <w:tcPr>
            <w:tcW w:w="1116" w:type="dxa"/>
            <w:tcBorders>
              <w:top w:val="nil"/>
              <w:left w:val="nil"/>
              <w:bottom w:val="dotted" w:sz="4" w:space="0" w:color="969696"/>
              <w:right w:val="double" w:sz="6" w:space="0" w:color="969696"/>
            </w:tcBorders>
            <w:noWrap/>
            <w:vAlign w:val="center"/>
            <w:hideMark/>
          </w:tcPr>
          <w:p w14:paraId="517930CF"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44.912.600</w:t>
            </w:r>
          </w:p>
        </w:tc>
        <w:tc>
          <w:tcPr>
            <w:tcW w:w="1018" w:type="dxa"/>
            <w:tcBorders>
              <w:top w:val="nil"/>
              <w:left w:val="nil"/>
              <w:bottom w:val="dotted" w:sz="4" w:space="0" w:color="969696"/>
              <w:right w:val="nil"/>
            </w:tcBorders>
            <w:noWrap/>
            <w:vAlign w:val="center"/>
            <w:hideMark/>
          </w:tcPr>
          <w:p w14:paraId="3152508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1116" w:type="dxa"/>
            <w:tcBorders>
              <w:top w:val="nil"/>
              <w:left w:val="double" w:sz="6" w:space="0" w:color="969696"/>
              <w:bottom w:val="dotted" w:sz="4" w:space="0" w:color="969696"/>
              <w:right w:val="nil"/>
            </w:tcBorders>
            <w:noWrap/>
            <w:vAlign w:val="center"/>
            <w:hideMark/>
          </w:tcPr>
          <w:p w14:paraId="3DE881B8"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44.912.600</w:t>
            </w:r>
          </w:p>
        </w:tc>
        <w:tc>
          <w:tcPr>
            <w:tcW w:w="1026" w:type="dxa"/>
            <w:tcBorders>
              <w:top w:val="nil"/>
              <w:left w:val="double" w:sz="6" w:space="0" w:color="969696"/>
              <w:bottom w:val="dotted" w:sz="4" w:space="0" w:color="969696"/>
              <w:right w:val="double" w:sz="6" w:space="0" w:color="969696"/>
            </w:tcBorders>
            <w:noWrap/>
            <w:vAlign w:val="center"/>
            <w:hideMark/>
          </w:tcPr>
          <w:p w14:paraId="1BC5438B"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4.102.300</w:t>
            </w:r>
          </w:p>
        </w:tc>
        <w:tc>
          <w:tcPr>
            <w:tcW w:w="1116" w:type="dxa"/>
            <w:tcBorders>
              <w:top w:val="nil"/>
              <w:left w:val="nil"/>
              <w:bottom w:val="dotted" w:sz="4" w:space="0" w:color="969696"/>
              <w:right w:val="single" w:sz="4" w:space="0" w:color="969696"/>
            </w:tcBorders>
            <w:noWrap/>
            <w:vAlign w:val="center"/>
            <w:hideMark/>
          </w:tcPr>
          <w:p w14:paraId="79BCDAD9"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49.014.900</w:t>
            </w:r>
          </w:p>
        </w:tc>
        <w:tc>
          <w:tcPr>
            <w:tcW w:w="915" w:type="dxa"/>
            <w:tcBorders>
              <w:top w:val="nil"/>
              <w:left w:val="nil"/>
              <w:bottom w:val="dotted" w:sz="4" w:space="0" w:color="969696"/>
              <w:right w:val="double" w:sz="6" w:space="0" w:color="969696"/>
            </w:tcBorders>
            <w:noWrap/>
            <w:vAlign w:val="center"/>
            <w:hideMark/>
          </w:tcPr>
          <w:p w14:paraId="5D24AF3E"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12,95%</w:t>
            </w:r>
          </w:p>
        </w:tc>
        <w:tc>
          <w:tcPr>
            <w:tcW w:w="883" w:type="dxa"/>
            <w:tcBorders>
              <w:top w:val="nil"/>
              <w:left w:val="nil"/>
              <w:bottom w:val="dotted" w:sz="4" w:space="0" w:color="969696"/>
              <w:right w:val="double" w:sz="6" w:space="0" w:color="969696"/>
            </w:tcBorders>
            <w:noWrap/>
            <w:vAlign w:val="center"/>
            <w:hideMark/>
          </w:tcPr>
          <w:p w14:paraId="6363B37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-0,98%</w:t>
            </w:r>
          </w:p>
        </w:tc>
        <w:tc>
          <w:tcPr>
            <w:tcW w:w="626" w:type="dxa"/>
            <w:vAlign w:val="center"/>
            <w:hideMark/>
          </w:tcPr>
          <w:p w14:paraId="02E8C330" w14:textId="77777777" w:rsidR="000B6D3B" w:rsidRDefault="000B6D3B">
            <w:pPr>
              <w:rPr>
                <w:rFonts w:ascii="Calibri" w:eastAsia="Times New Roman" w:hAnsi="Calibri" w:cs="Calibri"/>
                <w:b/>
                <w:bCs/>
                <w:sz w:val="18"/>
                <w:szCs w:val="18"/>
                <w:lang w:eastAsia="hr-HR"/>
              </w:rPr>
            </w:pPr>
          </w:p>
        </w:tc>
      </w:tr>
      <w:tr w:rsidR="000B6D3B" w14:paraId="445720AD" w14:textId="77777777" w:rsidTr="000B6D3B">
        <w:trPr>
          <w:trHeight w:val="384"/>
        </w:trPr>
        <w:tc>
          <w:tcPr>
            <w:tcW w:w="1027" w:type="dxa"/>
            <w:tcBorders>
              <w:top w:val="nil"/>
              <w:left w:val="double" w:sz="6" w:space="0" w:color="969696"/>
              <w:bottom w:val="dotted" w:sz="4" w:space="0" w:color="969696"/>
              <w:right w:val="nil"/>
            </w:tcBorders>
            <w:noWrap/>
            <w:vAlign w:val="center"/>
            <w:hideMark/>
          </w:tcPr>
          <w:p w14:paraId="00872DE1"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Dobrinj</w:t>
            </w:r>
          </w:p>
        </w:tc>
        <w:tc>
          <w:tcPr>
            <w:tcW w:w="891" w:type="dxa"/>
            <w:tcBorders>
              <w:top w:val="nil"/>
              <w:left w:val="double" w:sz="6" w:space="0" w:color="969696"/>
              <w:bottom w:val="dotted" w:sz="4" w:space="0" w:color="969696"/>
              <w:right w:val="single" w:sz="4" w:space="0" w:color="969696"/>
            </w:tcBorders>
            <w:noWrap/>
            <w:vAlign w:val="center"/>
            <w:hideMark/>
          </w:tcPr>
          <w:p w14:paraId="5CF7C470"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12,31%</w:t>
            </w:r>
          </w:p>
        </w:tc>
        <w:tc>
          <w:tcPr>
            <w:tcW w:w="1116" w:type="dxa"/>
            <w:tcBorders>
              <w:top w:val="nil"/>
              <w:left w:val="nil"/>
              <w:bottom w:val="dotted" w:sz="4" w:space="0" w:color="969696"/>
              <w:right w:val="double" w:sz="6" w:space="0" w:color="969696"/>
            </w:tcBorders>
            <w:noWrap/>
            <w:vAlign w:val="center"/>
            <w:hideMark/>
          </w:tcPr>
          <w:p w14:paraId="2837E344"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39.674.600</w:t>
            </w:r>
          </w:p>
        </w:tc>
        <w:tc>
          <w:tcPr>
            <w:tcW w:w="1018" w:type="dxa"/>
            <w:tcBorders>
              <w:top w:val="nil"/>
              <w:left w:val="nil"/>
              <w:bottom w:val="dotted" w:sz="4" w:space="0" w:color="969696"/>
              <w:right w:val="nil"/>
            </w:tcBorders>
            <w:noWrap/>
            <w:vAlign w:val="center"/>
            <w:hideMark/>
          </w:tcPr>
          <w:p w14:paraId="03168033"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1116" w:type="dxa"/>
            <w:tcBorders>
              <w:top w:val="nil"/>
              <w:left w:val="double" w:sz="6" w:space="0" w:color="969696"/>
              <w:bottom w:val="dotted" w:sz="4" w:space="0" w:color="969696"/>
              <w:right w:val="nil"/>
            </w:tcBorders>
            <w:noWrap/>
            <w:vAlign w:val="center"/>
            <w:hideMark/>
          </w:tcPr>
          <w:p w14:paraId="1140C580"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39.674.600</w:t>
            </w:r>
          </w:p>
        </w:tc>
        <w:tc>
          <w:tcPr>
            <w:tcW w:w="1026" w:type="dxa"/>
            <w:tcBorders>
              <w:top w:val="nil"/>
              <w:left w:val="double" w:sz="6" w:space="0" w:color="969696"/>
              <w:bottom w:val="dotted" w:sz="4" w:space="0" w:color="969696"/>
              <w:right w:val="double" w:sz="6" w:space="0" w:color="969696"/>
            </w:tcBorders>
            <w:noWrap/>
            <w:vAlign w:val="center"/>
            <w:hideMark/>
          </w:tcPr>
          <w:p w14:paraId="7CE56FF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13.879.900</w:t>
            </w:r>
          </w:p>
        </w:tc>
        <w:tc>
          <w:tcPr>
            <w:tcW w:w="1116" w:type="dxa"/>
            <w:tcBorders>
              <w:top w:val="nil"/>
              <w:left w:val="nil"/>
              <w:bottom w:val="dotted" w:sz="4" w:space="0" w:color="969696"/>
              <w:right w:val="single" w:sz="4" w:space="0" w:color="969696"/>
            </w:tcBorders>
            <w:noWrap/>
            <w:vAlign w:val="center"/>
            <w:hideMark/>
          </w:tcPr>
          <w:p w14:paraId="0905CEA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53.554.500</w:t>
            </w:r>
          </w:p>
        </w:tc>
        <w:tc>
          <w:tcPr>
            <w:tcW w:w="915" w:type="dxa"/>
            <w:tcBorders>
              <w:top w:val="nil"/>
              <w:left w:val="nil"/>
              <w:bottom w:val="dotted" w:sz="4" w:space="0" w:color="969696"/>
              <w:right w:val="double" w:sz="6" w:space="0" w:color="969696"/>
            </w:tcBorders>
            <w:noWrap/>
            <w:vAlign w:val="center"/>
            <w:hideMark/>
          </w:tcPr>
          <w:p w14:paraId="3ED651E9"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14,15%</w:t>
            </w:r>
          </w:p>
        </w:tc>
        <w:tc>
          <w:tcPr>
            <w:tcW w:w="883" w:type="dxa"/>
            <w:tcBorders>
              <w:top w:val="nil"/>
              <w:left w:val="nil"/>
              <w:bottom w:val="dotted" w:sz="4" w:space="0" w:color="969696"/>
              <w:right w:val="double" w:sz="6" w:space="0" w:color="969696"/>
            </w:tcBorders>
            <w:noWrap/>
            <w:vAlign w:val="center"/>
            <w:hideMark/>
          </w:tcPr>
          <w:p w14:paraId="3F111EAD"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1,84%</w:t>
            </w:r>
          </w:p>
        </w:tc>
        <w:tc>
          <w:tcPr>
            <w:tcW w:w="626" w:type="dxa"/>
            <w:vAlign w:val="center"/>
            <w:hideMark/>
          </w:tcPr>
          <w:p w14:paraId="0ED2B42F" w14:textId="77777777" w:rsidR="000B6D3B" w:rsidRDefault="000B6D3B">
            <w:pPr>
              <w:rPr>
                <w:rFonts w:ascii="Calibri" w:eastAsia="Times New Roman" w:hAnsi="Calibri" w:cs="Calibri"/>
                <w:b/>
                <w:bCs/>
                <w:sz w:val="18"/>
                <w:szCs w:val="18"/>
                <w:lang w:eastAsia="hr-HR"/>
              </w:rPr>
            </w:pPr>
          </w:p>
        </w:tc>
      </w:tr>
      <w:tr w:rsidR="000B6D3B" w14:paraId="611C247B" w14:textId="77777777" w:rsidTr="000B6D3B">
        <w:trPr>
          <w:trHeight w:val="407"/>
        </w:trPr>
        <w:tc>
          <w:tcPr>
            <w:tcW w:w="1027" w:type="dxa"/>
            <w:tcBorders>
              <w:top w:val="nil"/>
              <w:left w:val="double" w:sz="6" w:space="0" w:color="969696"/>
              <w:bottom w:val="double" w:sz="6" w:space="0" w:color="969696"/>
              <w:right w:val="nil"/>
            </w:tcBorders>
            <w:noWrap/>
            <w:vAlign w:val="center"/>
            <w:hideMark/>
          </w:tcPr>
          <w:p w14:paraId="5D8D7020"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Općina Vrbnik</w:t>
            </w:r>
          </w:p>
        </w:tc>
        <w:tc>
          <w:tcPr>
            <w:tcW w:w="891" w:type="dxa"/>
            <w:tcBorders>
              <w:top w:val="nil"/>
              <w:left w:val="double" w:sz="6" w:space="0" w:color="969696"/>
              <w:bottom w:val="double" w:sz="6" w:space="0" w:color="969696"/>
              <w:right w:val="single" w:sz="4" w:space="0" w:color="969696"/>
            </w:tcBorders>
            <w:noWrap/>
            <w:vAlign w:val="center"/>
            <w:hideMark/>
          </w:tcPr>
          <w:p w14:paraId="16136F5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5,95%</w:t>
            </w:r>
          </w:p>
        </w:tc>
        <w:tc>
          <w:tcPr>
            <w:tcW w:w="1116" w:type="dxa"/>
            <w:tcBorders>
              <w:top w:val="nil"/>
              <w:left w:val="nil"/>
              <w:bottom w:val="double" w:sz="6" w:space="0" w:color="969696"/>
              <w:right w:val="double" w:sz="6" w:space="0" w:color="969696"/>
            </w:tcBorders>
            <w:noWrap/>
            <w:vAlign w:val="center"/>
            <w:hideMark/>
          </w:tcPr>
          <w:p w14:paraId="02A23B4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19.175.800</w:t>
            </w:r>
          </w:p>
        </w:tc>
        <w:tc>
          <w:tcPr>
            <w:tcW w:w="1018" w:type="dxa"/>
            <w:tcBorders>
              <w:top w:val="nil"/>
              <w:left w:val="nil"/>
              <w:bottom w:val="double" w:sz="6" w:space="0" w:color="969696"/>
              <w:right w:val="nil"/>
            </w:tcBorders>
            <w:noWrap/>
            <w:vAlign w:val="center"/>
            <w:hideMark/>
          </w:tcPr>
          <w:p w14:paraId="24C9369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1116" w:type="dxa"/>
            <w:tcBorders>
              <w:top w:val="nil"/>
              <w:left w:val="double" w:sz="6" w:space="0" w:color="969696"/>
              <w:bottom w:val="double" w:sz="6" w:space="0" w:color="969696"/>
              <w:right w:val="nil"/>
            </w:tcBorders>
            <w:noWrap/>
            <w:vAlign w:val="center"/>
            <w:hideMark/>
          </w:tcPr>
          <w:p w14:paraId="563FF4E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19.175.800</w:t>
            </w:r>
          </w:p>
        </w:tc>
        <w:tc>
          <w:tcPr>
            <w:tcW w:w="1026" w:type="dxa"/>
            <w:tcBorders>
              <w:top w:val="nil"/>
              <w:left w:val="double" w:sz="6" w:space="0" w:color="969696"/>
              <w:bottom w:val="double" w:sz="6" w:space="0" w:color="969696"/>
              <w:right w:val="double" w:sz="6" w:space="0" w:color="969696"/>
            </w:tcBorders>
            <w:noWrap/>
            <w:vAlign w:val="center"/>
            <w:hideMark/>
          </w:tcPr>
          <w:p w14:paraId="6EA24B2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2.629.400</w:t>
            </w:r>
          </w:p>
        </w:tc>
        <w:tc>
          <w:tcPr>
            <w:tcW w:w="1116" w:type="dxa"/>
            <w:tcBorders>
              <w:top w:val="nil"/>
              <w:left w:val="nil"/>
              <w:bottom w:val="double" w:sz="6" w:space="0" w:color="969696"/>
              <w:right w:val="single" w:sz="4" w:space="0" w:color="969696"/>
            </w:tcBorders>
            <w:noWrap/>
            <w:vAlign w:val="center"/>
            <w:hideMark/>
          </w:tcPr>
          <w:p w14:paraId="632A1B31"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21.805.200</w:t>
            </w:r>
          </w:p>
        </w:tc>
        <w:tc>
          <w:tcPr>
            <w:tcW w:w="915" w:type="dxa"/>
            <w:tcBorders>
              <w:top w:val="nil"/>
              <w:left w:val="nil"/>
              <w:bottom w:val="double" w:sz="6" w:space="0" w:color="969696"/>
              <w:right w:val="double" w:sz="6" w:space="0" w:color="969696"/>
            </w:tcBorders>
            <w:noWrap/>
            <w:vAlign w:val="center"/>
            <w:hideMark/>
          </w:tcPr>
          <w:p w14:paraId="616202BC"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5,76%</w:t>
            </w:r>
          </w:p>
        </w:tc>
        <w:tc>
          <w:tcPr>
            <w:tcW w:w="883" w:type="dxa"/>
            <w:tcBorders>
              <w:top w:val="nil"/>
              <w:left w:val="nil"/>
              <w:bottom w:val="double" w:sz="6" w:space="0" w:color="969696"/>
              <w:right w:val="double" w:sz="6" w:space="0" w:color="969696"/>
            </w:tcBorders>
            <w:noWrap/>
            <w:vAlign w:val="center"/>
            <w:hideMark/>
          </w:tcPr>
          <w:p w14:paraId="080FE1A2"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-0,19%</w:t>
            </w:r>
          </w:p>
        </w:tc>
        <w:tc>
          <w:tcPr>
            <w:tcW w:w="626" w:type="dxa"/>
            <w:vAlign w:val="center"/>
            <w:hideMark/>
          </w:tcPr>
          <w:p w14:paraId="644FB693" w14:textId="77777777" w:rsidR="000B6D3B" w:rsidRDefault="000B6D3B">
            <w:pPr>
              <w:rPr>
                <w:rFonts w:ascii="Calibri" w:eastAsia="Times New Roman" w:hAnsi="Calibri" w:cs="Calibri"/>
                <w:b/>
                <w:bCs/>
                <w:sz w:val="18"/>
                <w:szCs w:val="18"/>
                <w:lang w:eastAsia="hr-HR"/>
              </w:rPr>
            </w:pPr>
          </w:p>
        </w:tc>
      </w:tr>
      <w:tr w:rsidR="000B6D3B" w14:paraId="1ED73CEB" w14:textId="77777777" w:rsidTr="000B6D3B">
        <w:trPr>
          <w:trHeight w:val="403"/>
        </w:trPr>
        <w:tc>
          <w:tcPr>
            <w:tcW w:w="1027" w:type="dxa"/>
            <w:tcBorders>
              <w:top w:val="nil"/>
              <w:left w:val="double" w:sz="6" w:space="0" w:color="969696"/>
              <w:bottom w:val="double" w:sz="6" w:space="0" w:color="969696"/>
              <w:right w:val="nil"/>
            </w:tcBorders>
            <w:noWrap/>
            <w:vAlign w:val="center"/>
            <w:hideMark/>
          </w:tcPr>
          <w:p w14:paraId="0FB05EEC" w14:textId="77777777" w:rsidR="000B6D3B" w:rsidRDefault="000B6D3B">
            <w:pPr>
              <w:spacing w:after="0" w:line="240" w:lineRule="auto"/>
              <w:rPr>
                <w:rFonts w:ascii="Calibri" w:eastAsia="Times New Roman" w:hAnsi="Calibri" w:cs="Calibri"/>
                <w:b/>
                <w:bCs/>
                <w:sz w:val="18"/>
                <w:szCs w:val="18"/>
                <w:lang w:eastAsia="hr-HR"/>
              </w:rPr>
            </w:pPr>
            <w:r>
              <w:rPr>
                <w:rFonts w:ascii="Calibri" w:eastAsia="Times New Roman" w:hAnsi="Calibri" w:cs="Calibri"/>
                <w:b/>
                <w:bCs/>
                <w:sz w:val="18"/>
                <w:szCs w:val="18"/>
                <w:lang w:eastAsia="hr-HR"/>
              </w:rPr>
              <w:t>Ukupno</w:t>
            </w:r>
          </w:p>
        </w:tc>
        <w:tc>
          <w:tcPr>
            <w:tcW w:w="891" w:type="dxa"/>
            <w:tcBorders>
              <w:top w:val="nil"/>
              <w:left w:val="double" w:sz="6" w:space="0" w:color="969696"/>
              <w:bottom w:val="double" w:sz="6" w:space="0" w:color="969696"/>
              <w:right w:val="single" w:sz="4" w:space="0" w:color="969696"/>
            </w:tcBorders>
            <w:noWrap/>
            <w:vAlign w:val="center"/>
            <w:hideMark/>
          </w:tcPr>
          <w:p w14:paraId="7C364E36"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100,00%</w:t>
            </w:r>
          </w:p>
        </w:tc>
        <w:tc>
          <w:tcPr>
            <w:tcW w:w="1116" w:type="dxa"/>
            <w:tcBorders>
              <w:top w:val="nil"/>
              <w:left w:val="nil"/>
              <w:bottom w:val="double" w:sz="6" w:space="0" w:color="969696"/>
              <w:right w:val="double" w:sz="6" w:space="0" w:color="969696"/>
            </w:tcBorders>
            <w:noWrap/>
            <w:vAlign w:val="center"/>
            <w:hideMark/>
          </w:tcPr>
          <w:p w14:paraId="4A635C96"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322.395.200</w:t>
            </w:r>
          </w:p>
        </w:tc>
        <w:tc>
          <w:tcPr>
            <w:tcW w:w="1018" w:type="dxa"/>
            <w:tcBorders>
              <w:top w:val="nil"/>
              <w:left w:val="nil"/>
              <w:bottom w:val="double" w:sz="6" w:space="0" w:color="969696"/>
              <w:right w:val="nil"/>
            </w:tcBorders>
            <w:noWrap/>
            <w:vAlign w:val="center"/>
            <w:hideMark/>
          </w:tcPr>
          <w:p w14:paraId="60E3C0C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w:t>
            </w:r>
          </w:p>
        </w:tc>
        <w:tc>
          <w:tcPr>
            <w:tcW w:w="1116" w:type="dxa"/>
            <w:tcBorders>
              <w:top w:val="nil"/>
              <w:left w:val="double" w:sz="6" w:space="0" w:color="969696"/>
              <w:bottom w:val="double" w:sz="6" w:space="0" w:color="969696"/>
              <w:right w:val="nil"/>
            </w:tcBorders>
            <w:noWrap/>
            <w:vAlign w:val="center"/>
            <w:hideMark/>
          </w:tcPr>
          <w:p w14:paraId="1C678DC7"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322.395.200</w:t>
            </w:r>
          </w:p>
        </w:tc>
        <w:tc>
          <w:tcPr>
            <w:tcW w:w="1026" w:type="dxa"/>
            <w:tcBorders>
              <w:top w:val="nil"/>
              <w:left w:val="double" w:sz="6" w:space="0" w:color="969696"/>
              <w:bottom w:val="double" w:sz="6" w:space="0" w:color="969696"/>
              <w:right w:val="double" w:sz="6" w:space="0" w:color="969696"/>
            </w:tcBorders>
            <w:noWrap/>
            <w:vAlign w:val="center"/>
            <w:hideMark/>
          </w:tcPr>
          <w:p w14:paraId="4BB6CBF5"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56.067.800</w:t>
            </w:r>
          </w:p>
        </w:tc>
        <w:tc>
          <w:tcPr>
            <w:tcW w:w="1116" w:type="dxa"/>
            <w:tcBorders>
              <w:top w:val="nil"/>
              <w:left w:val="nil"/>
              <w:bottom w:val="double" w:sz="6" w:space="0" w:color="969696"/>
              <w:right w:val="nil"/>
            </w:tcBorders>
            <w:noWrap/>
            <w:vAlign w:val="center"/>
            <w:hideMark/>
          </w:tcPr>
          <w:p w14:paraId="3EBB467A"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378.463.000</w:t>
            </w:r>
          </w:p>
        </w:tc>
        <w:tc>
          <w:tcPr>
            <w:tcW w:w="915" w:type="dxa"/>
            <w:tcBorders>
              <w:top w:val="nil"/>
              <w:left w:val="single" w:sz="4" w:space="0" w:color="969696"/>
              <w:bottom w:val="double" w:sz="6" w:space="0" w:color="969696"/>
              <w:right w:val="nil"/>
            </w:tcBorders>
            <w:noWrap/>
            <w:vAlign w:val="center"/>
            <w:hideMark/>
          </w:tcPr>
          <w:p w14:paraId="318B934F"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100,00%</w:t>
            </w:r>
          </w:p>
        </w:tc>
        <w:tc>
          <w:tcPr>
            <w:tcW w:w="883" w:type="dxa"/>
            <w:tcBorders>
              <w:top w:val="nil"/>
              <w:left w:val="double" w:sz="6" w:space="0" w:color="969696"/>
              <w:bottom w:val="nil"/>
              <w:right w:val="nil"/>
            </w:tcBorders>
            <w:noWrap/>
            <w:vAlign w:val="center"/>
            <w:hideMark/>
          </w:tcPr>
          <w:p w14:paraId="529F0122" w14:textId="77777777" w:rsidR="000B6D3B" w:rsidRDefault="000B6D3B">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w:t>
            </w:r>
          </w:p>
        </w:tc>
        <w:tc>
          <w:tcPr>
            <w:tcW w:w="626" w:type="dxa"/>
            <w:vAlign w:val="center"/>
            <w:hideMark/>
          </w:tcPr>
          <w:p w14:paraId="38FB6179" w14:textId="77777777" w:rsidR="000B6D3B" w:rsidRDefault="000B6D3B">
            <w:pPr>
              <w:rPr>
                <w:rFonts w:ascii="Calibri" w:eastAsia="Times New Roman" w:hAnsi="Calibri" w:cs="Calibri"/>
                <w:b/>
                <w:bCs/>
                <w:sz w:val="18"/>
                <w:szCs w:val="18"/>
                <w:lang w:eastAsia="hr-HR"/>
              </w:rPr>
            </w:pPr>
          </w:p>
        </w:tc>
      </w:tr>
    </w:tbl>
    <w:p w14:paraId="4248D4AB" w14:textId="77777777" w:rsidR="000B6D3B" w:rsidRDefault="000B6D3B" w:rsidP="000B6D3B">
      <w:pPr>
        <w:spacing w:after="0" w:line="240" w:lineRule="auto"/>
        <w:ind w:right="92"/>
        <w:jc w:val="both"/>
        <w:rPr>
          <w:rFonts w:ascii="Calibri" w:eastAsia="Times New Roman" w:hAnsi="Calibri" w:cs="Times New Roman"/>
          <w:b/>
          <w:bCs/>
          <w:sz w:val="24"/>
          <w:szCs w:val="24"/>
        </w:rPr>
      </w:pPr>
    </w:p>
    <w:p w14:paraId="7F138107" w14:textId="77777777" w:rsidR="000B6D3B" w:rsidRDefault="000B6D3B" w:rsidP="000B6D3B">
      <w:pPr>
        <w:spacing w:after="0" w:line="240" w:lineRule="auto"/>
        <w:ind w:right="92"/>
        <w:jc w:val="both"/>
        <w:rPr>
          <w:rFonts w:ascii="Calibri" w:eastAsia="Times New Roman" w:hAnsi="Calibri" w:cs="Times New Roman"/>
        </w:rPr>
      </w:pPr>
      <w:r>
        <w:rPr>
          <w:rFonts w:ascii="Calibri" w:eastAsia="Times New Roman" w:hAnsi="Calibri" w:cs="Times New Roman"/>
        </w:rPr>
        <w:t xml:space="preserve">Temeljni kapital društva povećan je s iznosa od 322.395.200 kn za iznos od 56.067.800 kn na iznos od 378.463.000 kn. </w:t>
      </w:r>
    </w:p>
    <w:p w14:paraId="2A49F2BD" w14:textId="77777777" w:rsidR="000B6D3B" w:rsidRDefault="000B6D3B" w:rsidP="000B6D3B">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Calibri"/>
          <w:iCs/>
          <w:lang w:eastAsia="hr-HR"/>
        </w:rPr>
      </w:pPr>
    </w:p>
    <w:p w14:paraId="71F2069D" w14:textId="77777777" w:rsidR="000B6D3B" w:rsidRDefault="000B6D3B" w:rsidP="000B6D3B">
      <w:pPr>
        <w:numPr>
          <w:ilvl w:val="1"/>
          <w:numId w:val="6"/>
        </w:numPr>
        <w:tabs>
          <w:tab w:val="left" w:pos="-180"/>
        </w:tabs>
        <w:overflowPunct w:val="0"/>
        <w:autoSpaceDE w:val="0"/>
        <w:autoSpaceDN w:val="0"/>
        <w:adjustRightInd w:val="0"/>
        <w:spacing w:after="0" w:line="240" w:lineRule="auto"/>
        <w:ind w:right="-17"/>
        <w:contextualSpacing/>
        <w:jc w:val="both"/>
        <w:textAlignment w:val="baseline"/>
        <w:rPr>
          <w:rFonts w:ascii="Calibri" w:eastAsia="Times New Roman" w:hAnsi="Calibri" w:cs="Calibri"/>
          <w:b/>
          <w:bCs/>
        </w:rPr>
      </w:pPr>
      <w:r>
        <w:rPr>
          <w:rFonts w:ascii="Calibri" w:eastAsia="Times New Roman" w:hAnsi="Calibri" w:cs="Calibri"/>
          <w:b/>
          <w:bCs/>
        </w:rPr>
        <w:t xml:space="preserve"> Upravljanje EU projektom</w:t>
      </w:r>
    </w:p>
    <w:p w14:paraId="6CF49996" w14:textId="77777777" w:rsidR="000B6D3B" w:rsidRDefault="000B6D3B" w:rsidP="000B6D3B">
      <w:pPr>
        <w:spacing w:after="0" w:line="240" w:lineRule="auto"/>
        <w:ind w:right="92"/>
        <w:jc w:val="both"/>
        <w:rPr>
          <w:rFonts w:ascii="Calibri" w:eastAsia="Calibri" w:hAnsi="Calibri" w:cs="Calibri"/>
          <w:iCs/>
        </w:rPr>
      </w:pPr>
    </w:p>
    <w:p w14:paraId="7EB506B3" w14:textId="77777777" w:rsidR="000B6D3B" w:rsidRDefault="000B6D3B" w:rsidP="000B6D3B">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lang w:eastAsia="hr-HR"/>
        </w:rPr>
      </w:pPr>
      <w:r>
        <w:rPr>
          <w:rFonts w:ascii="Calibri" w:eastAsia="Times New Roman" w:hAnsi="Calibri" w:cs="Times New Roman"/>
          <w:iCs/>
          <w:lang w:eastAsia="hr-HR"/>
        </w:rPr>
        <w:t xml:space="preserve">U travnju 2021. godine </w:t>
      </w:r>
      <w:r>
        <w:rPr>
          <w:rFonts w:ascii="Calibri" w:eastAsia="Times New Roman" w:hAnsi="Calibri" w:cs="Times New Roman"/>
        </w:rPr>
        <w:t xml:space="preserve">Ernst &amp; Young savjetovanje d.o.o. uputilo je prijedlog sporazuma o završetku ugovora o uslugama tehničke podrške upravljanja EU projektom </w:t>
      </w:r>
      <w:r>
        <w:rPr>
          <w:rFonts w:ascii="Calibri" w:eastAsia="Times New Roman" w:hAnsi="Calibri" w:cs="Times New Roman"/>
          <w:iCs/>
        </w:rPr>
        <w:t xml:space="preserve">„Projekt prikupljanja, pročišćavanja i odvodnje otpadnih voda na području otoka Krka“ prema kojem bi upravljanje projektom završilo do srpnja 2021. godine i riješila se problematika međusobnih potraživanja i obveza. </w:t>
      </w:r>
    </w:p>
    <w:p w14:paraId="01CF00EF" w14:textId="77777777" w:rsidR="000B6D3B" w:rsidRDefault="000B6D3B" w:rsidP="000B6D3B">
      <w:pPr>
        <w:spacing w:after="0" w:line="240" w:lineRule="auto"/>
        <w:ind w:right="92"/>
        <w:jc w:val="both"/>
        <w:rPr>
          <w:rFonts w:ascii="Calibri" w:eastAsia="Calibri" w:hAnsi="Calibri" w:cs="Calibri"/>
          <w:iCs/>
        </w:rPr>
      </w:pPr>
    </w:p>
    <w:p w14:paraId="7D6386B2" w14:textId="77777777" w:rsidR="000B6D3B" w:rsidRDefault="000B6D3B" w:rsidP="000B6D3B">
      <w:pPr>
        <w:spacing w:after="0" w:line="240" w:lineRule="auto"/>
        <w:ind w:right="92"/>
        <w:jc w:val="both"/>
        <w:rPr>
          <w:rFonts w:ascii="Calibri" w:eastAsia="Calibri" w:hAnsi="Calibri" w:cs="Calibri"/>
          <w:iCs/>
        </w:rPr>
      </w:pPr>
    </w:p>
    <w:p w14:paraId="6E334B82" w14:textId="77777777" w:rsidR="000B6D3B" w:rsidRDefault="000B6D3B" w:rsidP="000B6D3B">
      <w:pPr>
        <w:numPr>
          <w:ilvl w:val="0"/>
          <w:numId w:val="6"/>
        </w:numPr>
        <w:spacing w:after="0" w:line="240" w:lineRule="auto"/>
        <w:ind w:right="92"/>
        <w:contextualSpacing/>
        <w:jc w:val="both"/>
        <w:rPr>
          <w:rFonts w:ascii="Calibri" w:eastAsia="Times New Roman" w:hAnsi="Calibri" w:cs="Calibri"/>
          <w:b/>
          <w:bCs/>
          <w:iCs/>
          <w:sz w:val="24"/>
          <w:szCs w:val="24"/>
        </w:rPr>
      </w:pPr>
      <w:r>
        <w:rPr>
          <w:rFonts w:ascii="Calibri" w:eastAsia="Times New Roman" w:hAnsi="Calibri" w:cs="Calibri"/>
          <w:b/>
          <w:bCs/>
          <w:iCs/>
          <w:sz w:val="24"/>
          <w:szCs w:val="24"/>
        </w:rPr>
        <w:t>DOGAĐAJI OD UTJECAJA NA BUDUĆE POSLOVANJE</w:t>
      </w:r>
    </w:p>
    <w:p w14:paraId="40E499E9" w14:textId="77777777" w:rsidR="000B6D3B" w:rsidRDefault="000B6D3B" w:rsidP="000B6D3B">
      <w:pPr>
        <w:spacing w:after="0" w:line="240" w:lineRule="auto"/>
        <w:ind w:right="92"/>
        <w:jc w:val="both"/>
        <w:rPr>
          <w:rFonts w:ascii="Calibri" w:eastAsia="Calibri" w:hAnsi="Calibri" w:cs="Calibri"/>
          <w:iCs/>
        </w:rPr>
      </w:pPr>
    </w:p>
    <w:p w14:paraId="1CF157D6" w14:textId="77777777" w:rsidR="000B6D3B" w:rsidRDefault="000B6D3B" w:rsidP="000B6D3B">
      <w:pPr>
        <w:spacing w:after="0" w:line="240" w:lineRule="auto"/>
        <w:ind w:right="92"/>
        <w:jc w:val="both"/>
        <w:rPr>
          <w:rFonts w:ascii="Calibri" w:eastAsia="Calibri" w:hAnsi="Calibri" w:cs="Calibri"/>
          <w:iCs/>
        </w:rPr>
      </w:pPr>
      <w:r>
        <w:rPr>
          <w:rFonts w:ascii="Calibri" w:eastAsia="Calibri" w:hAnsi="Calibri" w:cs="Calibri"/>
          <w:iCs/>
        </w:rPr>
        <w:t>U ožujku 2020. godine proglašena je pandemija bolesti COVID-19 uzrokovana virusom SARS-CoV-2 (koronavirus). Pandemija traje i u 2021. godini. Uprava društva predviđa da će pandemija imati utjecaj na poslovanje Društva i u 2021. godini, kako na smanjenje prihoda tako i na likvidnost te se poduzimaju aktivnosti oko prevladavanja navedenih rizika (kontrola rashoda te utroška vlastitih sredstava u financiranju ulaganja u nova osnovna sredstva radi zaštite likvidnosti Društva).</w:t>
      </w:r>
    </w:p>
    <w:p w14:paraId="78033C1C" w14:textId="77777777" w:rsidR="00A47DC5" w:rsidRDefault="00A47DC5" w:rsidP="000B6D3B">
      <w:pPr>
        <w:spacing w:after="0" w:line="240" w:lineRule="auto"/>
        <w:ind w:right="92"/>
        <w:jc w:val="both"/>
        <w:rPr>
          <w:rFonts w:cstheme="minorHAnsi"/>
          <w:iCs/>
        </w:rPr>
      </w:pPr>
    </w:p>
    <w:p w14:paraId="73DB41A3" w14:textId="75BD3E12" w:rsidR="000B6D3B" w:rsidRDefault="000B6D3B" w:rsidP="000B6D3B">
      <w:pPr>
        <w:spacing w:after="0" w:line="240" w:lineRule="auto"/>
        <w:ind w:right="92"/>
        <w:jc w:val="both"/>
        <w:rPr>
          <w:rFonts w:cstheme="minorHAnsi"/>
          <w:iCs/>
        </w:rPr>
      </w:pPr>
      <w:r>
        <w:rPr>
          <w:rFonts w:cstheme="minorHAnsi"/>
          <w:iCs/>
        </w:rPr>
        <w:t>Krk, 31. svibnja 2021.</w:t>
      </w:r>
      <w:r>
        <w:rPr>
          <w:rFonts w:cstheme="minorHAnsi"/>
          <w:iCs/>
        </w:rPr>
        <w:tab/>
      </w:r>
      <w:r>
        <w:rPr>
          <w:rFonts w:cstheme="minorHAnsi"/>
          <w:iCs/>
        </w:rPr>
        <w:tab/>
      </w:r>
      <w:r>
        <w:rPr>
          <w:rFonts w:cstheme="minorHAnsi"/>
          <w:iCs/>
        </w:rPr>
        <w:tab/>
      </w:r>
    </w:p>
    <w:p w14:paraId="3D71F6A3" w14:textId="77777777" w:rsidR="000B6D3B" w:rsidRDefault="000B6D3B" w:rsidP="000B6D3B">
      <w:pPr>
        <w:ind w:right="92"/>
        <w:jc w:val="both"/>
        <w:rPr>
          <w:rFonts w:cstheme="minorHAnsi"/>
          <w:iCs/>
        </w:rPr>
      </w:pP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t>Uprava Društva:</w:t>
      </w:r>
    </w:p>
    <w:p w14:paraId="580F9EC2" w14:textId="77777777" w:rsidR="000B6D3B" w:rsidRDefault="000B6D3B" w:rsidP="000B6D3B">
      <w:pPr>
        <w:ind w:left="6372" w:right="92"/>
        <w:jc w:val="both"/>
        <w:rPr>
          <w:rFonts w:cstheme="minorHAnsi"/>
          <w:iCs/>
        </w:rPr>
      </w:pPr>
    </w:p>
    <w:p w14:paraId="45AF3BD5" w14:textId="4A7E76FF" w:rsidR="00AD6BD2" w:rsidRPr="000B6D3B" w:rsidRDefault="000B6D3B" w:rsidP="000B6D3B">
      <w:pPr>
        <w:ind w:right="92"/>
        <w:jc w:val="both"/>
        <w:rPr>
          <w:b/>
        </w:rPr>
      </w:pP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t>Mr.sc.Ivica Plišić, dipl.ing.građ.</w:t>
      </w:r>
    </w:p>
    <w:sectPr w:rsidR="00AD6BD2" w:rsidRPr="000B6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C8A"/>
    <w:multiLevelType w:val="hybridMultilevel"/>
    <w:tmpl w:val="377AB6C6"/>
    <w:lvl w:ilvl="0" w:tplc="E1B225EA">
      <w:numFmt w:val="bullet"/>
      <w:lvlText w:val="-"/>
      <w:lvlJc w:val="left"/>
      <w:pPr>
        <w:ind w:left="1080" w:hanging="720"/>
      </w:pPr>
      <w:rPr>
        <w:rFonts w:ascii="Calibri" w:eastAsia="Times New Roman" w:hAnsi="Calibri" w:cs="Times New Roman"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D7A4ACF"/>
    <w:multiLevelType w:val="multilevel"/>
    <w:tmpl w:val="38CC6D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4AA24DB"/>
    <w:multiLevelType w:val="multilevel"/>
    <w:tmpl w:val="6E843C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3B"/>
    <w:rsid w:val="000B6D3B"/>
    <w:rsid w:val="00A47DC5"/>
    <w:rsid w:val="00AD6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9EBA"/>
  <w15:chartTrackingRefBased/>
  <w15:docId w15:val="{E0D51BD5-63AD-409E-9716-3CC815B7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D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4506</Words>
  <Characters>25689</Characters>
  <Application>Microsoft Office Word</Application>
  <DocSecurity>0</DocSecurity>
  <Lines>214</Lines>
  <Paragraphs>60</Paragraphs>
  <ScaleCrop>false</ScaleCrop>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Srdoč</dc:creator>
  <cp:keywords/>
  <dc:description/>
  <cp:lastModifiedBy>Barbara Srdoč</cp:lastModifiedBy>
  <cp:revision>2</cp:revision>
  <dcterms:created xsi:type="dcterms:W3CDTF">2021-06-11T08:12:00Z</dcterms:created>
  <dcterms:modified xsi:type="dcterms:W3CDTF">2021-07-28T11:11:00Z</dcterms:modified>
</cp:coreProperties>
</file>